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AD591" w14:textId="77777777" w:rsidR="001E0AC2" w:rsidRDefault="005A5087" w:rsidP="00DD1570">
      <w:pPr>
        <w:pStyle w:val="Titel"/>
      </w:pPr>
      <w:r>
        <w:rPr>
          <w:noProof/>
          <w:lang w:val="de-DE" w:eastAsia="de-DE"/>
        </w:rPr>
        <w:drawing>
          <wp:anchor distT="0" distB="0" distL="114300" distR="114300" simplePos="0" relativeHeight="251653120" behindDoc="0" locked="0" layoutInCell="1" allowOverlap="1" wp14:anchorId="365CF797" wp14:editId="11E13B7F">
            <wp:simplePos x="0" y="0"/>
            <wp:positionH relativeFrom="margin">
              <wp:align>center</wp:align>
            </wp:positionH>
            <wp:positionV relativeFrom="paragraph">
              <wp:posOffset>0</wp:posOffset>
            </wp:positionV>
            <wp:extent cx="3106420" cy="1614170"/>
            <wp:effectExtent l="0" t="0" r="0" b="5080"/>
            <wp:wrapSquare wrapText="bothSides"/>
            <wp:docPr id="6" name="Picture 6" descr="A picture containing clip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ONBILL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420" cy="1614170"/>
                    </a:xfrm>
                    <a:prstGeom prst="rect">
                      <a:avLst/>
                    </a:prstGeom>
                  </pic:spPr>
                </pic:pic>
              </a:graphicData>
            </a:graphic>
            <wp14:sizeRelH relativeFrom="margin">
              <wp14:pctWidth>0</wp14:pctWidth>
            </wp14:sizeRelH>
            <wp14:sizeRelV relativeFrom="margin">
              <wp14:pctHeight>0</wp14:pctHeight>
            </wp14:sizeRelV>
          </wp:anchor>
        </w:drawing>
      </w:r>
    </w:p>
    <w:p w14:paraId="2BA57103" w14:textId="77777777" w:rsidR="001E0AC2" w:rsidRDefault="001E0AC2" w:rsidP="00DD1570">
      <w:pPr>
        <w:pStyle w:val="Titel"/>
      </w:pPr>
    </w:p>
    <w:p w14:paraId="4CFD6F1E" w14:textId="77777777" w:rsidR="00DC1ADA" w:rsidRDefault="00DC1ADA" w:rsidP="00DD1570">
      <w:pPr>
        <w:pStyle w:val="Titel"/>
      </w:pPr>
    </w:p>
    <w:p w14:paraId="25EE248E" w14:textId="77777777" w:rsidR="00DC1ADA" w:rsidRDefault="00DC1ADA" w:rsidP="00DD1570">
      <w:pPr>
        <w:pStyle w:val="Titel"/>
      </w:pPr>
    </w:p>
    <w:p w14:paraId="7AE6548D" w14:textId="77777777" w:rsidR="00DC1ADA" w:rsidRDefault="00DC1ADA" w:rsidP="00DD1570">
      <w:pPr>
        <w:pStyle w:val="Titel"/>
      </w:pPr>
    </w:p>
    <w:p w14:paraId="162FE974" w14:textId="712EDB70" w:rsidR="001E0AC2" w:rsidRDefault="00FB3464" w:rsidP="00DD1570">
      <w:pPr>
        <w:pStyle w:val="Titel"/>
        <w:rPr>
          <w:sz w:val="44"/>
        </w:rPr>
      </w:pPr>
      <w:r>
        <w:rPr>
          <w:sz w:val="44"/>
        </w:rPr>
        <w:t>National prototyping workshops</w:t>
      </w:r>
    </w:p>
    <w:p w14:paraId="7AA7D701" w14:textId="0B38C93B" w:rsidR="00FB3464" w:rsidRPr="00FB3464" w:rsidRDefault="00FB3464" w:rsidP="00FB3464">
      <w:pPr>
        <w:jc w:val="center"/>
        <w:rPr>
          <w:b/>
          <w:sz w:val="36"/>
          <w:lang w:val="en-US" w:eastAsia="fr-BE"/>
        </w:rPr>
      </w:pPr>
      <w:r w:rsidRPr="00FB3464">
        <w:rPr>
          <w:b/>
          <w:sz w:val="36"/>
          <w:lang w:val="en-US" w:eastAsia="fr-BE"/>
        </w:rPr>
        <w:t>Insights from Germany</w:t>
      </w:r>
    </w:p>
    <w:p w14:paraId="7F26BB9F" w14:textId="3F5F63D7" w:rsidR="00FB3464" w:rsidRDefault="005B774E" w:rsidP="00FB3464">
      <w:pPr>
        <w:jc w:val="center"/>
        <w:rPr>
          <w:sz w:val="28"/>
          <w:lang w:val="en-US" w:eastAsia="fr-BE"/>
        </w:rPr>
      </w:pPr>
      <w:r w:rsidRPr="005B774E">
        <w:rPr>
          <w:rFonts w:eastAsia="Times New Roman" w:cstheme="majorBidi"/>
          <w:b/>
          <w:bCs/>
          <w:noProof/>
          <w:spacing w:val="5"/>
          <w:kern w:val="28"/>
          <w:sz w:val="52"/>
          <w:szCs w:val="52"/>
          <w:lang w:val="de-DE" w:eastAsia="de-DE"/>
        </w:rPr>
        <w:drawing>
          <wp:anchor distT="0" distB="0" distL="114300" distR="114300" simplePos="0" relativeHeight="251667456" behindDoc="0" locked="0" layoutInCell="1" allowOverlap="1" wp14:anchorId="4184037C" wp14:editId="6BE01000">
            <wp:simplePos x="0" y="0"/>
            <wp:positionH relativeFrom="margin">
              <wp:align>center</wp:align>
            </wp:positionH>
            <wp:positionV relativeFrom="paragraph">
              <wp:posOffset>489585</wp:posOffset>
            </wp:positionV>
            <wp:extent cx="4817745" cy="3111500"/>
            <wp:effectExtent l="19050" t="19050" r="20955" b="12700"/>
            <wp:wrapTopAndBottom/>
            <wp:docPr id="1" name="Picture Placeholder 5">
              <a:extLst xmlns:a="http://schemas.openxmlformats.org/drawingml/2006/main">
                <a:ext uri="{FF2B5EF4-FFF2-40B4-BE49-F238E27FC236}">
                  <a16:creationId xmlns:a16="http://schemas.microsoft.com/office/drawing/2014/main" id="{4AE2A810-7C8C-474F-BC9C-E099B93A0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laceholder 5">
                      <a:extLst>
                        <a:ext uri="{FF2B5EF4-FFF2-40B4-BE49-F238E27FC236}">
                          <a16:creationId xmlns:a16="http://schemas.microsoft.com/office/drawing/2014/main" id="{4AE2A810-7C8C-474F-BC9C-E099B93A06AB}"/>
                        </a:ext>
                      </a:extLst>
                    </pic:cNvPr>
                    <pic:cNvPicPr>
                      <a:picLocks noChangeAspect="1"/>
                    </pic:cNvPicPr>
                  </pic:nvPicPr>
                  <pic:blipFill rotWithShape="1">
                    <a:blip r:embed="rId9">
                      <a:extLst>
                        <a:ext uri="{28A0092B-C50C-407E-A947-70E740481C1C}">
                          <a14:useLocalDpi xmlns:a14="http://schemas.microsoft.com/office/drawing/2010/main" val="0"/>
                        </a:ext>
                      </a:extLst>
                    </a:blip>
                    <a:srcRect t="24349" b="1860"/>
                    <a:stretch/>
                  </pic:blipFill>
                  <pic:spPr>
                    <a:xfrm>
                      <a:off x="0" y="0"/>
                      <a:ext cx="4817745" cy="3111500"/>
                    </a:xfrm>
                    <a:prstGeom prst="rect">
                      <a:avLst/>
                    </a:prstGeom>
                    <a:ln>
                      <a:solidFill>
                        <a:srgbClr val="373C78"/>
                      </a:solidFill>
                    </a:ln>
                  </pic:spPr>
                </pic:pic>
              </a:graphicData>
            </a:graphic>
            <wp14:sizeRelH relativeFrom="margin">
              <wp14:pctWidth>0</wp14:pctWidth>
            </wp14:sizeRelH>
            <wp14:sizeRelV relativeFrom="margin">
              <wp14:pctHeight>0</wp14:pctHeight>
            </wp14:sizeRelV>
          </wp:anchor>
        </w:drawing>
      </w:r>
      <w:r w:rsidR="00FB3464">
        <w:rPr>
          <w:sz w:val="28"/>
          <w:lang w:val="en-US" w:eastAsia="fr-BE"/>
        </w:rPr>
        <w:t>24 April 2020 | Online</w:t>
      </w:r>
    </w:p>
    <w:p w14:paraId="3CC08DB2" w14:textId="28577CE7" w:rsidR="005B774E" w:rsidRDefault="005B774E" w:rsidP="00FE7764">
      <w:pPr>
        <w:rPr>
          <w:lang w:val="en-US"/>
        </w:rPr>
      </w:pPr>
    </w:p>
    <w:p w14:paraId="43BD5577" w14:textId="0C16BA99" w:rsidR="005B774E" w:rsidRPr="006E7182" w:rsidRDefault="005B774E" w:rsidP="00FE7764">
      <w:r>
        <w:rPr>
          <w:noProof/>
          <w:lang w:val="de-DE" w:eastAsia="de-DE"/>
        </w:rPr>
        <mc:AlternateContent>
          <mc:Choice Requires="wpg">
            <w:drawing>
              <wp:anchor distT="0" distB="0" distL="114300" distR="114300" simplePos="0" relativeHeight="251666432" behindDoc="0" locked="0" layoutInCell="1" allowOverlap="1" wp14:anchorId="3852988C" wp14:editId="5E0B9D54">
                <wp:simplePos x="0" y="0"/>
                <wp:positionH relativeFrom="margin">
                  <wp:align>center</wp:align>
                </wp:positionH>
                <wp:positionV relativeFrom="paragraph">
                  <wp:posOffset>949960</wp:posOffset>
                </wp:positionV>
                <wp:extent cx="5890285" cy="976299"/>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890285" cy="976299"/>
                          <a:chOff x="0" y="0"/>
                          <a:chExt cx="5890285" cy="976299"/>
                        </a:xfrm>
                      </wpg:grpSpPr>
                      <wps:wsp>
                        <wps:cNvPr id="217" name="Text Box 2"/>
                        <wps:cNvSpPr txBox="1">
                          <a:spLocks noChangeArrowheads="1"/>
                        </wps:cNvSpPr>
                        <wps:spPr bwMode="auto">
                          <a:xfrm>
                            <a:off x="1066191" y="31420"/>
                            <a:ext cx="4824094" cy="944879"/>
                          </a:xfrm>
                          <a:prstGeom prst="rect">
                            <a:avLst/>
                          </a:prstGeom>
                          <a:solidFill>
                            <a:srgbClr val="FFFFFF"/>
                          </a:solidFill>
                          <a:ln w="9525">
                            <a:noFill/>
                            <a:miter lim="800000"/>
                            <a:headEnd/>
                            <a:tailEnd/>
                          </a:ln>
                        </wps:spPr>
                        <wps:txbx>
                          <w:txbxContent>
                            <w:p w14:paraId="664CB9F9" w14:textId="77777777" w:rsidR="008B2643" w:rsidRPr="00567E55" w:rsidRDefault="008B2643" w:rsidP="008B2643">
                              <w:pPr>
                                <w:jc w:val="left"/>
                                <w:rPr>
                                  <w:sz w:val="18"/>
                                  <w:szCs w:val="20"/>
                                </w:rPr>
                              </w:pPr>
                              <w:r w:rsidRPr="00567E55">
                                <w:rPr>
                                  <w:szCs w:val="20"/>
                                </w:rPr>
                                <w:t>This project has received funding from the European Union’s Horizon 2020 research and innovation programme under grant agreement No 847056.</w:t>
                              </w:r>
                            </w:p>
                            <w:p w14:paraId="28877B65" w14:textId="77777777" w:rsidR="008B2643" w:rsidRDefault="008B2643" w:rsidP="008B2643"/>
                          </w:txbxContent>
                        </wps:txbx>
                        <wps:bodyPr rot="0" vert="horz" wrap="square" lIns="91440" tIns="45720" rIns="91440" bIns="45720" anchor="b" anchorCtr="0">
                          <a:spAutoFit/>
                        </wps:bodyPr>
                      </wps:wsp>
                      <pic:pic xmlns:pic="http://schemas.openxmlformats.org/drawingml/2006/picture">
                        <pic:nvPicPr>
                          <pic:cNvPr id="7" name="Picture 7" descr="C:\Users\Cosmina\Desktop\Cos\Exceed\Visual identity\templates\flag_yellow_high.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645" cy="561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52988C" id="Group 4" o:spid="_x0000_s1026" style="position:absolute;left:0;text-align:left;margin-left:0;margin-top:74.8pt;width:463.8pt;height:76.85pt;z-index:251666432;mso-position-horizontal:center;mso-position-horizontal-relative:margin;mso-width-relative:margin;mso-height-relative:margin" coordsize="58902,9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">
                <v:shapetype id="_x0000_t202" coordsize="21600,21600" o:spt="202" path="m,l,21600r21600,l21600,xe">
                  <v:stroke joinstyle="miter"/>
                  <v:path gradientshapeok="t" o:connecttype="rect"/>
                </v:shapetype>
                <v:shape id="Text Box 2" o:spid="_x0000_s1027" type="#_x0000_t202" style="position:absolute;left:10661;top:314;width:48241;height:94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" stroked="f">
                  <v:textbox style="mso-fit-shape-to-text:t">
                    <w:txbxContent>
                      <w:p w14:paraId="664CB9F9" w14:textId="77777777" w:rsidR="008B2643" w:rsidRPr="00567E55" w:rsidRDefault="008B2643" w:rsidP="008B2643">
                        <w:pPr>
                          <w:jc w:val="left"/>
                          <w:rPr>
                            <w:sz w:val="18"/>
                            <w:szCs w:val="20"/>
                          </w:rPr>
                        </w:pPr>
                        <w:r w:rsidRPr="00567E55">
                          <w:rPr>
                            <w:szCs w:val="20"/>
                          </w:rPr>
                          <w:t>This project has received funding from the European Union’s Horizon 2020 research and innovation programme under grant agreement No 847056.</w:t>
                        </w:r>
                      </w:p>
                      <w:p w14:paraId="28877B65" w14:textId="77777777" w:rsidR="008B2643" w:rsidRDefault="008B2643" w:rsidP="008B264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8426;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">
                  <v:imagedata r:id="rId11" o:title="flag_yellow_high"/>
                  <v:path arrowok="t"/>
                </v:shape>
                <w10:wrap type="square" anchorx="margin"/>
              </v:group>
            </w:pict>
          </mc:Fallback>
        </mc:AlternateContent>
      </w:r>
    </w:p>
    <w:p w14:paraId="7A26E22B" w14:textId="41D2BED9" w:rsidR="00E63A5E" w:rsidRDefault="00E63A5E" w:rsidP="00FB3464">
      <w:pPr>
        <w:pStyle w:val="berschrift1"/>
        <w:numPr>
          <w:ilvl w:val="0"/>
          <w:numId w:val="0"/>
        </w:numPr>
      </w:pPr>
      <w:bookmarkStart w:id="0" w:name="_Toc44337402"/>
      <w:r>
        <w:lastRenderedPageBreak/>
        <w:t>Target market</w:t>
      </w:r>
      <w:r w:rsidR="00F50A5D">
        <w:t xml:space="preserve"> segments</w:t>
      </w:r>
      <w:r>
        <w:t xml:space="preserve"> for O</w:t>
      </w:r>
      <w:r w:rsidR="00FB3464">
        <w:t>n-bill schemes</w:t>
      </w:r>
      <w:bookmarkEnd w:id="0"/>
    </w:p>
    <w:p w14:paraId="2250E042" w14:textId="4EF0BB8B" w:rsidR="0023251A" w:rsidRPr="001339F9" w:rsidRDefault="001B3C25" w:rsidP="0023251A">
      <w:pPr>
        <w:rPr>
          <w:sz w:val="22"/>
        </w:rPr>
      </w:pPr>
      <w:r w:rsidRPr="001339F9">
        <w:rPr>
          <w:sz w:val="22"/>
        </w:rPr>
        <w:t>During the prototyping workshop in Germany, participants discussed two potential market</w:t>
      </w:r>
      <w:r w:rsidR="00F50A5D" w:rsidRPr="001339F9">
        <w:rPr>
          <w:sz w:val="22"/>
        </w:rPr>
        <w:t xml:space="preserve"> segment</w:t>
      </w:r>
      <w:r w:rsidRPr="001339F9">
        <w:rPr>
          <w:sz w:val="22"/>
        </w:rPr>
        <w:t>s for</w:t>
      </w:r>
      <w:r w:rsidR="0023251A" w:rsidRPr="001339F9">
        <w:rPr>
          <w:sz w:val="22"/>
        </w:rPr>
        <w:t xml:space="preserve"> on-bill schemes, namely (1)</w:t>
      </w:r>
      <w:r w:rsidRPr="001339F9">
        <w:rPr>
          <w:sz w:val="22"/>
        </w:rPr>
        <w:t xml:space="preserve"> owner-occupied single-family houses and </w:t>
      </w:r>
      <w:r w:rsidR="0023251A" w:rsidRPr="001339F9">
        <w:rPr>
          <w:sz w:val="22"/>
        </w:rPr>
        <w:t>(2) owners’ associations in multi-family houses. The table below gives an overview</w:t>
      </w:r>
      <w:r w:rsidR="0057671A" w:rsidRPr="001339F9">
        <w:rPr>
          <w:sz w:val="22"/>
        </w:rPr>
        <w:t xml:space="preserve"> of</w:t>
      </w:r>
      <w:r w:rsidR="0023251A" w:rsidRPr="001339F9">
        <w:rPr>
          <w:sz w:val="22"/>
        </w:rPr>
        <w:t xml:space="preserve"> </w:t>
      </w:r>
      <w:r w:rsidR="00AA3A0E" w:rsidRPr="001339F9">
        <w:rPr>
          <w:sz w:val="22"/>
        </w:rPr>
        <w:t>these discussions</w:t>
      </w:r>
      <w:r w:rsidR="0023251A" w:rsidRPr="001339F9">
        <w:rPr>
          <w:sz w:val="22"/>
        </w:rPr>
        <w:t xml:space="preserve">. </w:t>
      </w:r>
    </w:p>
    <w:tbl>
      <w:tblPr>
        <w:tblStyle w:val="Tabellenraster"/>
        <w:tblW w:w="0" w:type="auto"/>
        <w:tblBorders>
          <w:top w:val="single" w:sz="4" w:space="0" w:color="373C78" w:themeColor="accent1"/>
          <w:left w:val="single" w:sz="4" w:space="0" w:color="373C78" w:themeColor="accent1"/>
          <w:bottom w:val="single" w:sz="4" w:space="0" w:color="373C78" w:themeColor="accent1"/>
          <w:right w:val="single" w:sz="4" w:space="0" w:color="373C78" w:themeColor="accent1"/>
          <w:insideH w:val="single" w:sz="4" w:space="0" w:color="373C78" w:themeColor="accent1"/>
          <w:insideV w:val="single" w:sz="4" w:space="0" w:color="373C78" w:themeColor="accent1"/>
        </w:tblBorders>
        <w:tblLook w:val="04A0" w:firstRow="1" w:lastRow="0" w:firstColumn="1" w:lastColumn="0" w:noHBand="0" w:noVBand="1"/>
      </w:tblPr>
      <w:tblGrid>
        <w:gridCol w:w="1073"/>
        <w:gridCol w:w="3969"/>
        <w:gridCol w:w="3974"/>
      </w:tblGrid>
      <w:tr w:rsidR="00F02EF1" w14:paraId="70EAF9D2" w14:textId="77777777" w:rsidTr="005820FF">
        <w:trPr>
          <w:trHeight w:val="702"/>
        </w:trPr>
        <w:tc>
          <w:tcPr>
            <w:tcW w:w="1098" w:type="dxa"/>
          </w:tcPr>
          <w:p w14:paraId="13B80697" w14:textId="77777777" w:rsidR="0023251A" w:rsidRPr="001339F9" w:rsidRDefault="0023251A" w:rsidP="00AA3A0E">
            <w:pPr>
              <w:rPr>
                <w:sz w:val="22"/>
              </w:rPr>
            </w:pPr>
          </w:p>
        </w:tc>
        <w:tc>
          <w:tcPr>
            <w:tcW w:w="4072" w:type="dxa"/>
            <w:shd w:val="clear" w:color="auto" w:fill="A3A6D5" w:themeFill="accent1" w:themeFillTint="66"/>
          </w:tcPr>
          <w:p w14:paraId="15E194B1" w14:textId="338629F1" w:rsidR="0023251A" w:rsidRPr="001339F9" w:rsidRDefault="00D41B98" w:rsidP="00D41B98">
            <w:pPr>
              <w:spacing w:after="120"/>
              <w:jc w:val="center"/>
              <w:rPr>
                <w:b/>
                <w:sz w:val="22"/>
              </w:rPr>
            </w:pPr>
            <w:r w:rsidRPr="001339F9">
              <w:rPr>
                <w:b/>
                <w:sz w:val="22"/>
              </w:rPr>
              <w:t xml:space="preserve">(1) </w:t>
            </w:r>
            <w:r w:rsidR="0023251A" w:rsidRPr="001339F9">
              <w:rPr>
                <w:b/>
                <w:sz w:val="22"/>
              </w:rPr>
              <w:t>Owner-occupied single-family houses</w:t>
            </w:r>
          </w:p>
        </w:tc>
        <w:tc>
          <w:tcPr>
            <w:tcW w:w="4072" w:type="dxa"/>
            <w:shd w:val="clear" w:color="auto" w:fill="A3A6D5" w:themeFill="accent1" w:themeFillTint="66"/>
          </w:tcPr>
          <w:p w14:paraId="0A1208DF" w14:textId="7338E3D5" w:rsidR="0023251A" w:rsidRPr="001339F9" w:rsidRDefault="00D41B98" w:rsidP="00AA3A0E">
            <w:pPr>
              <w:spacing w:after="120"/>
              <w:jc w:val="center"/>
              <w:rPr>
                <w:b/>
                <w:sz w:val="22"/>
              </w:rPr>
            </w:pPr>
            <w:r w:rsidRPr="001339F9">
              <w:rPr>
                <w:b/>
                <w:sz w:val="22"/>
              </w:rPr>
              <w:t xml:space="preserve">(2) </w:t>
            </w:r>
            <w:r w:rsidR="0023251A" w:rsidRPr="001339F9">
              <w:rPr>
                <w:b/>
                <w:sz w:val="22"/>
              </w:rPr>
              <w:t>Owners’ associations in multi-family houses</w:t>
            </w:r>
          </w:p>
        </w:tc>
      </w:tr>
      <w:tr w:rsidR="00F02EF1" w14:paraId="5F2F93D3" w14:textId="77777777" w:rsidTr="001339F9">
        <w:trPr>
          <w:cantSplit/>
          <w:trHeight w:val="1486"/>
        </w:trPr>
        <w:tc>
          <w:tcPr>
            <w:tcW w:w="1098" w:type="dxa"/>
            <w:shd w:val="clear" w:color="auto" w:fill="D1D2EA" w:themeFill="accent1" w:themeFillTint="33"/>
            <w:textDirection w:val="btLr"/>
            <w:vAlign w:val="center"/>
          </w:tcPr>
          <w:p w14:paraId="7DEE0691" w14:textId="77777777" w:rsidR="0023251A" w:rsidRPr="001339F9" w:rsidRDefault="0023251A" w:rsidP="001339F9">
            <w:pPr>
              <w:ind w:left="113" w:right="113"/>
              <w:jc w:val="center"/>
              <w:rPr>
                <w:b/>
                <w:sz w:val="22"/>
              </w:rPr>
            </w:pPr>
            <w:r w:rsidRPr="001339F9">
              <w:rPr>
                <w:b/>
                <w:sz w:val="22"/>
              </w:rPr>
              <w:t>Advantages</w:t>
            </w:r>
          </w:p>
        </w:tc>
        <w:tc>
          <w:tcPr>
            <w:tcW w:w="4072" w:type="dxa"/>
          </w:tcPr>
          <w:p w14:paraId="3EA9D7C1" w14:textId="77777777" w:rsidR="0023251A" w:rsidRPr="001339F9" w:rsidRDefault="000D58F0" w:rsidP="00B35B84">
            <w:pPr>
              <w:pStyle w:val="Listenabsatz"/>
              <w:numPr>
                <w:ilvl w:val="0"/>
                <w:numId w:val="12"/>
              </w:numPr>
              <w:rPr>
                <w:sz w:val="22"/>
              </w:rPr>
            </w:pPr>
            <w:r w:rsidRPr="001339F9">
              <w:rPr>
                <w:sz w:val="22"/>
              </w:rPr>
              <w:t>High potential for energy savings</w:t>
            </w:r>
          </w:p>
          <w:p w14:paraId="433BEE25" w14:textId="77777777" w:rsidR="000D58F0" w:rsidRPr="001339F9" w:rsidRDefault="000D58F0" w:rsidP="00B35B84">
            <w:pPr>
              <w:pStyle w:val="Listenabsatz"/>
              <w:numPr>
                <w:ilvl w:val="0"/>
                <w:numId w:val="12"/>
              </w:numPr>
              <w:rPr>
                <w:sz w:val="22"/>
              </w:rPr>
            </w:pPr>
            <w:r w:rsidRPr="001339F9">
              <w:rPr>
                <w:sz w:val="22"/>
              </w:rPr>
              <w:t xml:space="preserve">High potential for deep renovation </w:t>
            </w:r>
          </w:p>
          <w:p w14:paraId="6D3D11F2" w14:textId="77777777" w:rsidR="00F02EF1" w:rsidRPr="001339F9" w:rsidRDefault="000D58F0" w:rsidP="00B35B84">
            <w:pPr>
              <w:pStyle w:val="Listenabsatz"/>
              <w:numPr>
                <w:ilvl w:val="0"/>
                <w:numId w:val="12"/>
              </w:numPr>
              <w:rPr>
                <w:sz w:val="22"/>
              </w:rPr>
            </w:pPr>
            <w:r w:rsidRPr="001339F9">
              <w:rPr>
                <w:sz w:val="22"/>
              </w:rPr>
              <w:t>Potential for “tied-to-meter” schemes due to low fluctuation</w:t>
            </w:r>
            <w:r w:rsidR="00F02EF1" w:rsidRPr="001339F9">
              <w:rPr>
                <w:sz w:val="22"/>
              </w:rPr>
              <w:t xml:space="preserve"> </w:t>
            </w:r>
          </w:p>
          <w:p w14:paraId="2F7EF1A6" w14:textId="1F681CA7" w:rsidR="000D58F0" w:rsidRPr="001339F9" w:rsidRDefault="000D58F0" w:rsidP="00AA3A0E">
            <w:pPr>
              <w:rPr>
                <w:sz w:val="22"/>
              </w:rPr>
            </w:pPr>
          </w:p>
        </w:tc>
        <w:tc>
          <w:tcPr>
            <w:tcW w:w="4072" w:type="dxa"/>
          </w:tcPr>
          <w:p w14:paraId="138D2976" w14:textId="24EBB82C" w:rsidR="0023251A" w:rsidRPr="001339F9" w:rsidRDefault="00F02EF1" w:rsidP="00B35B84">
            <w:pPr>
              <w:pStyle w:val="Listenabsatz"/>
              <w:numPr>
                <w:ilvl w:val="0"/>
                <w:numId w:val="12"/>
              </w:numPr>
              <w:rPr>
                <w:sz w:val="22"/>
              </w:rPr>
            </w:pPr>
            <w:r w:rsidRPr="001339F9">
              <w:rPr>
                <w:sz w:val="22"/>
              </w:rPr>
              <w:t>Owners’ association</w:t>
            </w:r>
            <w:r w:rsidR="007F4D7A" w:rsidRPr="001339F9">
              <w:rPr>
                <w:sz w:val="22"/>
              </w:rPr>
              <w:t>s</w:t>
            </w:r>
            <w:r w:rsidRPr="001339F9">
              <w:rPr>
                <w:sz w:val="22"/>
              </w:rPr>
              <w:t xml:space="preserve"> are perceived as a suitable counterpart for OBS</w:t>
            </w:r>
          </w:p>
          <w:p w14:paraId="34092DD2" w14:textId="26154A04" w:rsidR="00F02EF1" w:rsidRPr="001339F9" w:rsidRDefault="00F02EF1" w:rsidP="00B35B84">
            <w:pPr>
              <w:pStyle w:val="Listenabsatz"/>
              <w:numPr>
                <w:ilvl w:val="0"/>
                <w:numId w:val="12"/>
              </w:numPr>
              <w:rPr>
                <w:sz w:val="22"/>
              </w:rPr>
            </w:pPr>
            <w:r w:rsidRPr="001339F9">
              <w:rPr>
                <w:sz w:val="22"/>
              </w:rPr>
              <w:t>Associations often lack own capital for energy renovations and could therefore be interested in external capital provision through the OBS</w:t>
            </w:r>
          </w:p>
        </w:tc>
      </w:tr>
      <w:tr w:rsidR="00F02EF1" w14:paraId="60751E6F" w14:textId="77777777" w:rsidTr="001339F9">
        <w:trPr>
          <w:cantSplit/>
          <w:trHeight w:val="1657"/>
        </w:trPr>
        <w:tc>
          <w:tcPr>
            <w:tcW w:w="1098" w:type="dxa"/>
            <w:shd w:val="clear" w:color="auto" w:fill="D1D2EA" w:themeFill="accent1" w:themeFillTint="33"/>
            <w:textDirection w:val="btLr"/>
            <w:vAlign w:val="center"/>
          </w:tcPr>
          <w:p w14:paraId="1EADA2CA" w14:textId="77777777" w:rsidR="0023251A" w:rsidRPr="001339F9" w:rsidRDefault="0023251A" w:rsidP="001339F9">
            <w:pPr>
              <w:ind w:left="113" w:right="113"/>
              <w:jc w:val="center"/>
              <w:rPr>
                <w:b/>
                <w:sz w:val="22"/>
              </w:rPr>
            </w:pPr>
            <w:r w:rsidRPr="001339F9">
              <w:rPr>
                <w:b/>
                <w:sz w:val="22"/>
              </w:rPr>
              <w:t>Disadvantages</w:t>
            </w:r>
          </w:p>
        </w:tc>
        <w:tc>
          <w:tcPr>
            <w:tcW w:w="4072" w:type="dxa"/>
          </w:tcPr>
          <w:p w14:paraId="26AC5508" w14:textId="35003D4F" w:rsidR="0023251A" w:rsidRPr="001339F9" w:rsidRDefault="00E301BF" w:rsidP="00B35B84">
            <w:pPr>
              <w:pStyle w:val="Listenabsatz"/>
              <w:numPr>
                <w:ilvl w:val="0"/>
                <w:numId w:val="11"/>
              </w:numPr>
              <w:rPr>
                <w:sz w:val="22"/>
              </w:rPr>
            </w:pPr>
            <w:r w:rsidRPr="001339F9">
              <w:rPr>
                <w:sz w:val="22"/>
              </w:rPr>
              <w:t>H</w:t>
            </w:r>
            <w:r w:rsidR="000D58F0" w:rsidRPr="001339F9">
              <w:rPr>
                <w:sz w:val="22"/>
              </w:rPr>
              <w:t>ighly fragmented market</w:t>
            </w:r>
          </w:p>
          <w:p w14:paraId="0353A7E3" w14:textId="3D3378E6" w:rsidR="000D58F0" w:rsidRPr="001339F9" w:rsidRDefault="00E301BF" w:rsidP="007F4D7A">
            <w:pPr>
              <w:pStyle w:val="Listenabsatz"/>
              <w:numPr>
                <w:ilvl w:val="0"/>
                <w:numId w:val="11"/>
              </w:numPr>
              <w:rPr>
                <w:sz w:val="22"/>
              </w:rPr>
            </w:pPr>
            <w:r w:rsidRPr="001339F9">
              <w:rPr>
                <w:sz w:val="22"/>
              </w:rPr>
              <w:t>S</w:t>
            </w:r>
            <w:r w:rsidR="000D58F0" w:rsidRPr="001339F9">
              <w:rPr>
                <w:sz w:val="22"/>
              </w:rPr>
              <w:t>ingle-family house owners may relatively easy access regular bank loans and may therefore be less interested in alternative schemes such as OBS</w:t>
            </w:r>
          </w:p>
        </w:tc>
        <w:tc>
          <w:tcPr>
            <w:tcW w:w="4072" w:type="dxa"/>
          </w:tcPr>
          <w:p w14:paraId="3B5C56A7" w14:textId="2CFE3A8E" w:rsidR="0023251A" w:rsidRPr="001339F9" w:rsidRDefault="00E301BF" w:rsidP="00B35B84">
            <w:pPr>
              <w:pStyle w:val="Listenabsatz"/>
              <w:numPr>
                <w:ilvl w:val="0"/>
                <w:numId w:val="11"/>
              </w:numPr>
              <w:rPr>
                <w:sz w:val="22"/>
              </w:rPr>
            </w:pPr>
            <w:r w:rsidRPr="001339F9">
              <w:rPr>
                <w:sz w:val="22"/>
              </w:rPr>
              <w:t>T</w:t>
            </w:r>
            <w:r w:rsidR="00F02EF1" w:rsidRPr="001339F9">
              <w:rPr>
                <w:sz w:val="22"/>
              </w:rPr>
              <w:t>hreat of fragmented interests within the owners’ association, especially in case of rented-out properties</w:t>
            </w:r>
          </w:p>
        </w:tc>
      </w:tr>
      <w:tr w:rsidR="00F02EF1" w14:paraId="65B0F2D8" w14:textId="77777777" w:rsidTr="001339F9">
        <w:trPr>
          <w:cantSplit/>
          <w:trHeight w:val="1486"/>
        </w:trPr>
        <w:tc>
          <w:tcPr>
            <w:tcW w:w="1098" w:type="dxa"/>
            <w:shd w:val="clear" w:color="auto" w:fill="D1D2EA" w:themeFill="accent1" w:themeFillTint="33"/>
            <w:textDirection w:val="btLr"/>
            <w:vAlign w:val="center"/>
          </w:tcPr>
          <w:p w14:paraId="6B798959" w14:textId="77777777" w:rsidR="0023251A" w:rsidRPr="001339F9" w:rsidRDefault="0023251A" w:rsidP="001339F9">
            <w:pPr>
              <w:ind w:left="113" w:right="113"/>
              <w:jc w:val="center"/>
              <w:rPr>
                <w:b/>
                <w:sz w:val="22"/>
              </w:rPr>
            </w:pPr>
            <w:r w:rsidRPr="001339F9">
              <w:rPr>
                <w:b/>
                <w:sz w:val="22"/>
              </w:rPr>
              <w:t>Other aspects</w:t>
            </w:r>
          </w:p>
        </w:tc>
        <w:tc>
          <w:tcPr>
            <w:tcW w:w="4072" w:type="dxa"/>
          </w:tcPr>
          <w:p w14:paraId="2E5BDBDD" w14:textId="4EF64A58" w:rsidR="0023251A" w:rsidRPr="001339F9" w:rsidRDefault="0023251A" w:rsidP="00F02EF1">
            <w:pPr>
              <w:rPr>
                <w:sz w:val="22"/>
              </w:rPr>
            </w:pPr>
          </w:p>
        </w:tc>
        <w:tc>
          <w:tcPr>
            <w:tcW w:w="4072" w:type="dxa"/>
          </w:tcPr>
          <w:p w14:paraId="150E6E7A" w14:textId="770674EB" w:rsidR="0023251A" w:rsidRPr="001339F9" w:rsidRDefault="00F02EF1" w:rsidP="0057671A">
            <w:pPr>
              <w:pStyle w:val="Listenabsatz"/>
              <w:keepNext/>
              <w:numPr>
                <w:ilvl w:val="0"/>
                <w:numId w:val="13"/>
              </w:numPr>
              <w:rPr>
                <w:sz w:val="22"/>
              </w:rPr>
            </w:pPr>
            <w:r w:rsidRPr="001339F9">
              <w:rPr>
                <w:sz w:val="22"/>
              </w:rPr>
              <w:t>While utilities provide</w:t>
            </w:r>
            <w:r w:rsidR="00AD386E" w:rsidRPr="001339F9">
              <w:rPr>
                <w:sz w:val="22"/>
              </w:rPr>
              <w:t xml:space="preserve"> services to</w:t>
            </w:r>
            <w:r w:rsidRPr="001339F9">
              <w:rPr>
                <w:sz w:val="22"/>
              </w:rPr>
              <w:t xml:space="preserve"> individual end users, the contractual partner in an OBS would have to be the association (and not the individual owners)</w:t>
            </w:r>
          </w:p>
        </w:tc>
      </w:tr>
    </w:tbl>
    <w:p w14:paraId="639C2B46" w14:textId="77777777" w:rsidR="00DD0E11" w:rsidRDefault="00DD0E11" w:rsidP="00DD0E11">
      <w:pPr>
        <w:rPr>
          <w:b/>
          <w:sz w:val="32"/>
        </w:rPr>
      </w:pPr>
      <w:bookmarkStart w:id="1" w:name="_Toc44337403"/>
    </w:p>
    <w:p w14:paraId="3AB8EBF9" w14:textId="5862DBEE" w:rsidR="00E63A5E" w:rsidRPr="00DD0E11" w:rsidRDefault="00DD0E11" w:rsidP="00DD0E11">
      <w:pPr>
        <w:rPr>
          <w:b/>
          <w:sz w:val="32"/>
        </w:rPr>
      </w:pPr>
      <w:r w:rsidRPr="00DD0E11">
        <w:rPr>
          <w:b/>
          <w:sz w:val="32"/>
        </w:rPr>
        <w:t xml:space="preserve">ON-BILL PROTOTYPE </w:t>
      </w:r>
      <w:bookmarkEnd w:id="1"/>
    </w:p>
    <w:p w14:paraId="5A9B08EF" w14:textId="78BDE1D6" w:rsidR="00CF36D8" w:rsidRPr="001339F9" w:rsidRDefault="00CF36D8" w:rsidP="00E63A5E">
      <w:pPr>
        <w:rPr>
          <w:iCs/>
          <w:sz w:val="22"/>
        </w:rPr>
      </w:pPr>
      <w:r w:rsidRPr="001339F9">
        <w:rPr>
          <w:iCs/>
          <w:sz w:val="22"/>
        </w:rPr>
        <w:t xml:space="preserve">Participants’ discussions during the prototyping workshop in Germany focussed on (i) features of a potential on-bill scheme for the German market; and (ii) the potential business case for each </w:t>
      </w:r>
      <w:r w:rsidR="00E42BDB" w:rsidRPr="001339F9">
        <w:rPr>
          <w:iCs/>
          <w:sz w:val="22"/>
        </w:rPr>
        <w:t>of</w:t>
      </w:r>
      <w:r w:rsidRPr="001339F9">
        <w:rPr>
          <w:iCs/>
          <w:sz w:val="22"/>
        </w:rPr>
        <w:t xml:space="preserve"> the stakeholder groups involved. Both discussion streams </w:t>
      </w:r>
      <w:proofErr w:type="gramStart"/>
      <w:r w:rsidRPr="001339F9">
        <w:rPr>
          <w:iCs/>
          <w:sz w:val="22"/>
        </w:rPr>
        <w:t>are summarised</w:t>
      </w:r>
      <w:proofErr w:type="gramEnd"/>
      <w:r w:rsidRPr="001339F9">
        <w:rPr>
          <w:iCs/>
          <w:sz w:val="22"/>
        </w:rPr>
        <w:t xml:space="preserve"> below. </w:t>
      </w:r>
    </w:p>
    <w:p w14:paraId="66A26F97" w14:textId="48303311" w:rsidR="00CF36D8" w:rsidRPr="001339F9" w:rsidRDefault="00CF36D8" w:rsidP="00E63A5E">
      <w:pPr>
        <w:rPr>
          <w:iCs/>
          <w:sz w:val="22"/>
          <w:u w:val="single"/>
        </w:rPr>
      </w:pPr>
      <w:r w:rsidRPr="001339F9">
        <w:rPr>
          <w:iCs/>
          <w:sz w:val="22"/>
          <w:u w:val="single"/>
        </w:rPr>
        <w:t xml:space="preserve">On-bill prototype </w:t>
      </w:r>
    </w:p>
    <w:p w14:paraId="7C23F913" w14:textId="4D6CF9F8" w:rsidR="00E13FAA" w:rsidRPr="001339F9" w:rsidRDefault="00E13FAA" w:rsidP="00E63A5E">
      <w:pPr>
        <w:rPr>
          <w:iCs/>
          <w:sz w:val="22"/>
        </w:rPr>
      </w:pPr>
      <w:r w:rsidRPr="001339F9">
        <w:rPr>
          <w:iCs/>
          <w:sz w:val="22"/>
        </w:rPr>
        <w:t xml:space="preserve">The proposed model is an </w:t>
      </w:r>
      <w:r w:rsidRPr="001339F9">
        <w:rPr>
          <w:b/>
          <w:iCs/>
          <w:sz w:val="22"/>
        </w:rPr>
        <w:t>on-bill repayment scheme</w:t>
      </w:r>
      <w:r w:rsidRPr="001339F9">
        <w:rPr>
          <w:iCs/>
          <w:sz w:val="22"/>
        </w:rPr>
        <w:t xml:space="preserve">, assuming that large-scale investments require third party capital provision from a financial institution. </w:t>
      </w:r>
      <w:r w:rsidR="002F2FBD" w:rsidRPr="001339F9">
        <w:rPr>
          <w:iCs/>
          <w:sz w:val="22"/>
        </w:rPr>
        <w:t xml:space="preserve">The utility assumes the role of an energy manager and is responsible for </w:t>
      </w:r>
      <w:r w:rsidR="00AD386E" w:rsidRPr="001339F9">
        <w:rPr>
          <w:iCs/>
          <w:sz w:val="22"/>
        </w:rPr>
        <w:t xml:space="preserve">the </w:t>
      </w:r>
      <w:r w:rsidR="002F2FBD" w:rsidRPr="001339F9">
        <w:rPr>
          <w:iCs/>
          <w:sz w:val="22"/>
        </w:rPr>
        <w:t xml:space="preserve">programme administration. It promotes the on-bill offer as a </w:t>
      </w:r>
      <w:r w:rsidR="002F2FBD" w:rsidRPr="001339F9">
        <w:rPr>
          <w:b/>
          <w:iCs/>
          <w:sz w:val="22"/>
        </w:rPr>
        <w:t>one-stop-shop</w:t>
      </w:r>
      <w:r w:rsidR="002F2FBD" w:rsidRPr="001339F9">
        <w:rPr>
          <w:iCs/>
          <w:sz w:val="22"/>
        </w:rPr>
        <w:t xml:space="preserve"> towards the final customer. </w:t>
      </w:r>
      <w:r w:rsidR="00B24918" w:rsidRPr="001339F9">
        <w:rPr>
          <w:iCs/>
          <w:sz w:val="22"/>
        </w:rPr>
        <w:t xml:space="preserve">The utility’s knowledge about the final customer (e.g. in terms of bill payment history) is used for the financial institution’s creditworthiness assessment. </w:t>
      </w:r>
    </w:p>
    <w:p w14:paraId="43933333" w14:textId="7B6E1100" w:rsidR="005B4606" w:rsidRPr="005B4606" w:rsidRDefault="005B4606" w:rsidP="005B4606">
      <w:pPr>
        <w:rPr>
          <w:iCs/>
        </w:rPr>
      </w:pPr>
      <w:r>
        <w:rPr>
          <w:iCs/>
        </w:rPr>
        <w:t xml:space="preserve"> </w:t>
      </w:r>
    </w:p>
    <w:p w14:paraId="6F822502" w14:textId="7D17C8BB" w:rsidR="00BD09B8" w:rsidRDefault="00BD09B8" w:rsidP="00BD09B8">
      <w:pPr>
        <w:keepNext/>
      </w:pPr>
      <w:r w:rsidRPr="00AA47B2">
        <w:rPr>
          <w:iCs/>
          <w:noProof/>
          <w:lang w:val="de-DE" w:eastAsia="de-DE"/>
        </w:rPr>
        <w:lastRenderedPageBreak/>
        <w:drawing>
          <wp:inline distT="0" distB="0" distL="0" distR="0" wp14:anchorId="5C0C7625" wp14:editId="6929F626">
            <wp:extent cx="5731510" cy="3338623"/>
            <wp:effectExtent l="19050" t="19050" r="21590" b="1460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423"/>
                    <a:stretch/>
                  </pic:blipFill>
                  <pic:spPr bwMode="auto">
                    <a:xfrm>
                      <a:off x="0" y="0"/>
                      <a:ext cx="5731510" cy="3338623"/>
                    </a:xfrm>
                    <a:prstGeom prst="rect">
                      <a:avLst/>
                    </a:prstGeom>
                    <a:ln w="9525" cap="flat" cmpd="sng" algn="ctr">
                      <a:solidFill>
                        <a:srgbClr val="373C78"/>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56076EA" w14:textId="77777777" w:rsidR="00F416F1" w:rsidRDefault="00F416F1" w:rsidP="000D64C5">
      <w:pPr>
        <w:rPr>
          <w:iCs/>
        </w:rPr>
      </w:pPr>
    </w:p>
    <w:p w14:paraId="2B4702DB" w14:textId="641C378A" w:rsidR="000D64C5" w:rsidRPr="001339F9" w:rsidRDefault="000D64C5" w:rsidP="000D64C5">
      <w:pPr>
        <w:rPr>
          <w:iCs/>
          <w:sz w:val="22"/>
        </w:rPr>
      </w:pPr>
      <w:r w:rsidRPr="001339F9">
        <w:rPr>
          <w:iCs/>
          <w:sz w:val="22"/>
        </w:rPr>
        <w:t xml:space="preserve">Within </w:t>
      </w:r>
      <w:r w:rsidR="00F416F1" w:rsidRPr="001339F9">
        <w:rPr>
          <w:iCs/>
          <w:sz w:val="22"/>
        </w:rPr>
        <w:t>the prototype described above</w:t>
      </w:r>
      <w:r w:rsidRPr="001339F9">
        <w:rPr>
          <w:iCs/>
          <w:sz w:val="22"/>
        </w:rPr>
        <w:t xml:space="preserve">, the following </w:t>
      </w:r>
      <w:r w:rsidR="001339F9" w:rsidRPr="001339F9">
        <w:rPr>
          <w:iCs/>
          <w:sz w:val="22"/>
        </w:rPr>
        <w:t>issues</w:t>
      </w:r>
      <w:r w:rsidRPr="001339F9">
        <w:rPr>
          <w:iCs/>
          <w:sz w:val="22"/>
        </w:rPr>
        <w:t xml:space="preserve"> </w:t>
      </w:r>
      <w:proofErr w:type="gramStart"/>
      <w:r w:rsidRPr="001339F9">
        <w:rPr>
          <w:iCs/>
          <w:sz w:val="22"/>
        </w:rPr>
        <w:t>were particularly highlighted</w:t>
      </w:r>
      <w:proofErr w:type="gramEnd"/>
      <w:r w:rsidRPr="001339F9">
        <w:rPr>
          <w:iCs/>
          <w:sz w:val="22"/>
        </w:rPr>
        <w:t xml:space="preserve"> by workshop participants: </w:t>
      </w:r>
    </w:p>
    <w:p w14:paraId="5E4548C6" w14:textId="77777777" w:rsidR="000D64C5" w:rsidRPr="001339F9" w:rsidRDefault="000D64C5" w:rsidP="000D64C5">
      <w:pPr>
        <w:pStyle w:val="Listenabsatz"/>
        <w:numPr>
          <w:ilvl w:val="0"/>
          <w:numId w:val="13"/>
        </w:numPr>
        <w:rPr>
          <w:iCs/>
          <w:sz w:val="22"/>
        </w:rPr>
      </w:pPr>
      <w:r w:rsidRPr="001339F9">
        <w:rPr>
          <w:iCs/>
          <w:sz w:val="22"/>
        </w:rPr>
        <w:t>What exactly is the business case for the utility and the financial institution?</w:t>
      </w:r>
    </w:p>
    <w:p w14:paraId="2305BD22" w14:textId="77777777" w:rsidR="000D64C5" w:rsidRPr="001339F9" w:rsidRDefault="000D64C5" w:rsidP="000D64C5">
      <w:pPr>
        <w:pStyle w:val="Listenabsatz"/>
        <w:numPr>
          <w:ilvl w:val="0"/>
          <w:numId w:val="13"/>
        </w:numPr>
        <w:rPr>
          <w:iCs/>
          <w:sz w:val="22"/>
        </w:rPr>
      </w:pPr>
      <w:r w:rsidRPr="001339F9">
        <w:rPr>
          <w:iCs/>
          <w:sz w:val="22"/>
        </w:rPr>
        <w:t>What are the benefits for the final customer?</w:t>
      </w:r>
    </w:p>
    <w:p w14:paraId="2E3575BA" w14:textId="7E656508" w:rsidR="000D64C5" w:rsidRPr="001339F9" w:rsidRDefault="00AD386E" w:rsidP="000D64C5">
      <w:pPr>
        <w:pStyle w:val="Listenabsatz"/>
        <w:numPr>
          <w:ilvl w:val="0"/>
          <w:numId w:val="13"/>
        </w:numPr>
        <w:rPr>
          <w:iCs/>
          <w:sz w:val="22"/>
        </w:rPr>
      </w:pPr>
      <w:r w:rsidRPr="001339F9">
        <w:rPr>
          <w:iCs/>
          <w:sz w:val="22"/>
        </w:rPr>
        <w:t>To what extent are</w:t>
      </w:r>
      <w:r w:rsidR="000D64C5" w:rsidRPr="001339F9">
        <w:rPr>
          <w:iCs/>
          <w:sz w:val="22"/>
        </w:rPr>
        <w:t xml:space="preserve"> on-bill scheme</w:t>
      </w:r>
      <w:r w:rsidRPr="001339F9">
        <w:rPr>
          <w:iCs/>
          <w:sz w:val="22"/>
        </w:rPr>
        <w:t>s</w:t>
      </w:r>
      <w:r w:rsidR="000D64C5" w:rsidRPr="001339F9">
        <w:rPr>
          <w:iCs/>
          <w:sz w:val="22"/>
        </w:rPr>
        <w:t xml:space="preserve"> different from existing cont</w:t>
      </w:r>
      <w:r w:rsidR="00860F1D" w:rsidRPr="001339F9">
        <w:rPr>
          <w:iCs/>
          <w:sz w:val="22"/>
        </w:rPr>
        <w:t>r</w:t>
      </w:r>
      <w:r w:rsidR="000D64C5" w:rsidRPr="001339F9">
        <w:rPr>
          <w:iCs/>
          <w:sz w:val="22"/>
        </w:rPr>
        <w:t>acting offers?</w:t>
      </w:r>
    </w:p>
    <w:p w14:paraId="53F23922" w14:textId="72838855" w:rsidR="000D64C5" w:rsidRPr="001339F9" w:rsidRDefault="000D64C5" w:rsidP="000D64C5">
      <w:pPr>
        <w:pStyle w:val="Listenabsatz"/>
        <w:numPr>
          <w:ilvl w:val="0"/>
          <w:numId w:val="13"/>
        </w:numPr>
        <w:rPr>
          <w:iCs/>
          <w:sz w:val="22"/>
        </w:rPr>
      </w:pPr>
      <w:r w:rsidRPr="001339F9">
        <w:rPr>
          <w:iCs/>
          <w:sz w:val="22"/>
        </w:rPr>
        <w:t xml:space="preserve">What political support </w:t>
      </w:r>
      <w:proofErr w:type="gramStart"/>
      <w:r w:rsidRPr="001339F9">
        <w:rPr>
          <w:iCs/>
          <w:sz w:val="22"/>
        </w:rPr>
        <w:t>is need</w:t>
      </w:r>
      <w:r w:rsidR="00AD386E" w:rsidRPr="001339F9">
        <w:rPr>
          <w:iCs/>
          <w:sz w:val="22"/>
        </w:rPr>
        <w:t>ed</w:t>
      </w:r>
      <w:proofErr w:type="gramEnd"/>
      <w:r w:rsidRPr="001339F9">
        <w:rPr>
          <w:iCs/>
          <w:sz w:val="22"/>
        </w:rPr>
        <w:t>?</w:t>
      </w:r>
    </w:p>
    <w:p w14:paraId="0E86C205" w14:textId="77777777" w:rsidR="000D64C5" w:rsidRPr="001339F9" w:rsidRDefault="000D64C5" w:rsidP="000D64C5">
      <w:pPr>
        <w:pStyle w:val="Listenabsatz"/>
        <w:numPr>
          <w:ilvl w:val="0"/>
          <w:numId w:val="13"/>
        </w:numPr>
        <w:rPr>
          <w:iCs/>
          <w:sz w:val="22"/>
        </w:rPr>
      </w:pPr>
      <w:r w:rsidRPr="001339F9">
        <w:rPr>
          <w:iCs/>
          <w:sz w:val="22"/>
        </w:rPr>
        <w:t xml:space="preserve">How </w:t>
      </w:r>
      <w:proofErr w:type="gramStart"/>
      <w:r w:rsidRPr="001339F9">
        <w:rPr>
          <w:iCs/>
          <w:sz w:val="22"/>
        </w:rPr>
        <w:t>can financial and technical risks be managed</w:t>
      </w:r>
      <w:proofErr w:type="gramEnd"/>
      <w:r w:rsidRPr="001339F9">
        <w:rPr>
          <w:iCs/>
          <w:sz w:val="22"/>
        </w:rPr>
        <w:t>?</w:t>
      </w:r>
    </w:p>
    <w:p w14:paraId="46862FC5" w14:textId="77777777" w:rsidR="009048A2" w:rsidRDefault="009048A2" w:rsidP="00E63A5E">
      <w:pPr>
        <w:rPr>
          <w:iCs/>
          <w:u w:val="single"/>
        </w:rPr>
      </w:pPr>
    </w:p>
    <w:p w14:paraId="47F3587A" w14:textId="25B3CF28" w:rsidR="0078032C" w:rsidRPr="001339F9" w:rsidRDefault="005B4606" w:rsidP="00E63A5E">
      <w:pPr>
        <w:rPr>
          <w:iCs/>
          <w:sz w:val="22"/>
          <w:u w:val="single"/>
        </w:rPr>
      </w:pPr>
      <w:r w:rsidRPr="001339F9">
        <w:rPr>
          <w:iCs/>
          <w:sz w:val="22"/>
          <w:u w:val="single"/>
        </w:rPr>
        <w:t>B</w:t>
      </w:r>
      <w:r w:rsidR="0078032C" w:rsidRPr="001339F9">
        <w:rPr>
          <w:iCs/>
          <w:sz w:val="22"/>
          <w:u w:val="single"/>
        </w:rPr>
        <w:t>usiness case for energy utilities</w:t>
      </w:r>
    </w:p>
    <w:p w14:paraId="37CF23EA" w14:textId="1F463B44" w:rsidR="00C54AD3" w:rsidRPr="001339F9" w:rsidRDefault="00806988" w:rsidP="00806988">
      <w:pPr>
        <w:spacing w:after="120" w:line="260" w:lineRule="atLeast"/>
        <w:rPr>
          <w:sz w:val="22"/>
        </w:rPr>
      </w:pPr>
      <w:r w:rsidRPr="001339F9">
        <w:rPr>
          <w:sz w:val="22"/>
        </w:rPr>
        <w:t xml:space="preserve">During the discussions, it became evident that on-bill schemes can present a potential business case for energy utilities in Germany. While some participants argued that utilities </w:t>
      </w:r>
      <w:proofErr w:type="gramStart"/>
      <w:r w:rsidRPr="001339F9">
        <w:rPr>
          <w:sz w:val="22"/>
        </w:rPr>
        <w:t>may</w:t>
      </w:r>
      <w:proofErr w:type="gramEnd"/>
      <w:r w:rsidRPr="001339F9">
        <w:rPr>
          <w:sz w:val="22"/>
        </w:rPr>
        <w:t xml:space="preserve"> be reluctant to go beyond the traditional commodity business, many others agreed that utilities see the need to adapt their core business and </w:t>
      </w:r>
      <w:r w:rsidR="00AD386E" w:rsidRPr="001339F9">
        <w:rPr>
          <w:sz w:val="22"/>
        </w:rPr>
        <w:t>target</w:t>
      </w:r>
      <w:r w:rsidRPr="001339F9">
        <w:rPr>
          <w:sz w:val="22"/>
        </w:rPr>
        <w:t xml:space="preserve"> more future-oriented business models. This may include the provision of new services, e.g. energy renovation through an on-bill scheme. </w:t>
      </w:r>
      <w:r w:rsidR="00133277" w:rsidRPr="001339F9">
        <w:rPr>
          <w:sz w:val="22"/>
        </w:rPr>
        <w:t xml:space="preserve">Against this backdrop, on-bill schemes could present an </w:t>
      </w:r>
      <w:r w:rsidR="00133277" w:rsidRPr="001339F9">
        <w:rPr>
          <w:b/>
          <w:sz w:val="22"/>
        </w:rPr>
        <w:t>opportunity for strengthening an energy utility’s business</w:t>
      </w:r>
      <w:r w:rsidR="00133277" w:rsidRPr="001339F9">
        <w:rPr>
          <w:sz w:val="22"/>
        </w:rPr>
        <w:t xml:space="preserve"> in several ways:</w:t>
      </w:r>
    </w:p>
    <w:p w14:paraId="7BD4E4E9" w14:textId="6C3A114D" w:rsidR="00133277" w:rsidRPr="001339F9" w:rsidRDefault="000D64C5" w:rsidP="00133277">
      <w:pPr>
        <w:pStyle w:val="Listenabsatz"/>
        <w:numPr>
          <w:ilvl w:val="0"/>
          <w:numId w:val="30"/>
        </w:numPr>
        <w:spacing w:after="120" w:line="260" w:lineRule="atLeast"/>
        <w:rPr>
          <w:sz w:val="22"/>
        </w:rPr>
      </w:pPr>
      <w:r w:rsidRPr="001339F9">
        <w:rPr>
          <w:sz w:val="22"/>
        </w:rPr>
        <w:t>New revenue streams besides the traditional commodities business</w:t>
      </w:r>
    </w:p>
    <w:p w14:paraId="3EF8BF54" w14:textId="77777777" w:rsidR="000D64C5" w:rsidRPr="001339F9" w:rsidRDefault="000D64C5" w:rsidP="00133277">
      <w:pPr>
        <w:pStyle w:val="Listenabsatz"/>
        <w:numPr>
          <w:ilvl w:val="0"/>
          <w:numId w:val="30"/>
        </w:numPr>
        <w:spacing w:after="120" w:line="260" w:lineRule="atLeast"/>
        <w:rPr>
          <w:sz w:val="22"/>
        </w:rPr>
      </w:pPr>
      <w:r w:rsidRPr="001339F9">
        <w:rPr>
          <w:sz w:val="22"/>
        </w:rPr>
        <w:t>Access to new clients</w:t>
      </w:r>
    </w:p>
    <w:p w14:paraId="0AB6A558" w14:textId="1D7CAD32" w:rsidR="000D64C5" w:rsidRPr="001339F9" w:rsidRDefault="000D64C5" w:rsidP="00133277">
      <w:pPr>
        <w:pStyle w:val="Listenabsatz"/>
        <w:numPr>
          <w:ilvl w:val="0"/>
          <w:numId w:val="30"/>
        </w:numPr>
        <w:spacing w:after="120" w:line="260" w:lineRule="atLeast"/>
        <w:rPr>
          <w:sz w:val="22"/>
        </w:rPr>
      </w:pPr>
      <w:r w:rsidRPr="001339F9">
        <w:rPr>
          <w:sz w:val="22"/>
        </w:rPr>
        <w:t>Long-time retention of existing clients beyond the current 1-2 years of current utilities’ contract durations</w:t>
      </w:r>
    </w:p>
    <w:p w14:paraId="282C86AD" w14:textId="4CC9C07D" w:rsidR="000D64C5" w:rsidRPr="001339F9" w:rsidRDefault="000D64C5" w:rsidP="00133277">
      <w:pPr>
        <w:pStyle w:val="Listenabsatz"/>
        <w:numPr>
          <w:ilvl w:val="0"/>
          <w:numId w:val="30"/>
        </w:numPr>
        <w:spacing w:after="120" w:line="260" w:lineRule="atLeast"/>
        <w:rPr>
          <w:sz w:val="22"/>
        </w:rPr>
      </w:pPr>
      <w:r w:rsidRPr="001339F9">
        <w:rPr>
          <w:sz w:val="22"/>
        </w:rPr>
        <w:t>Positioning in the market as an energy manager</w:t>
      </w:r>
    </w:p>
    <w:p w14:paraId="41DA170D" w14:textId="314ABE78" w:rsidR="000D64C5" w:rsidRPr="001339F9" w:rsidRDefault="000D64C5" w:rsidP="000D64C5">
      <w:pPr>
        <w:spacing w:after="120" w:line="260" w:lineRule="atLeast"/>
        <w:rPr>
          <w:sz w:val="22"/>
        </w:rPr>
      </w:pPr>
      <w:r w:rsidRPr="001339F9">
        <w:rPr>
          <w:sz w:val="22"/>
        </w:rPr>
        <w:lastRenderedPageBreak/>
        <w:t xml:space="preserve">However, it </w:t>
      </w:r>
      <w:proofErr w:type="gramStart"/>
      <w:r w:rsidRPr="001339F9">
        <w:rPr>
          <w:sz w:val="22"/>
        </w:rPr>
        <w:t>was also pointed out</w:t>
      </w:r>
      <w:proofErr w:type="gramEnd"/>
      <w:r w:rsidRPr="001339F9">
        <w:rPr>
          <w:sz w:val="22"/>
        </w:rPr>
        <w:t xml:space="preserve"> that especially smaller utilities do often lack sufficient technical staff capacities to manage the full life cycle of an energy renovation intervention. In these cases, cooperation with an ESCO could be an option. </w:t>
      </w:r>
    </w:p>
    <w:p w14:paraId="300DA1DA" w14:textId="3C68F735" w:rsidR="0078032C" w:rsidRPr="001339F9" w:rsidRDefault="005B4606" w:rsidP="00E63A5E">
      <w:pPr>
        <w:rPr>
          <w:iCs/>
          <w:sz w:val="22"/>
          <w:u w:val="single"/>
        </w:rPr>
      </w:pPr>
      <w:r w:rsidRPr="001339F9">
        <w:rPr>
          <w:iCs/>
          <w:sz w:val="22"/>
          <w:u w:val="single"/>
        </w:rPr>
        <w:t>B</w:t>
      </w:r>
      <w:r w:rsidR="0078032C" w:rsidRPr="001339F9">
        <w:rPr>
          <w:iCs/>
          <w:sz w:val="22"/>
          <w:u w:val="single"/>
        </w:rPr>
        <w:t>usiness case for financial institutions</w:t>
      </w:r>
    </w:p>
    <w:p w14:paraId="40D8B0ED" w14:textId="690C7C47" w:rsidR="00A51BFA" w:rsidRPr="001339F9" w:rsidRDefault="00A51BFA" w:rsidP="00E63A5E">
      <w:pPr>
        <w:rPr>
          <w:iCs/>
          <w:sz w:val="22"/>
        </w:rPr>
      </w:pPr>
      <w:r w:rsidRPr="001339F9">
        <w:rPr>
          <w:iCs/>
          <w:sz w:val="22"/>
        </w:rPr>
        <w:t xml:space="preserve">Workshop participants highlighted two arguments for financial institutions to become involved in an on-bill scheme. First, the cooperation with an energy utility allows </w:t>
      </w:r>
      <w:r w:rsidRPr="001339F9">
        <w:rPr>
          <w:b/>
          <w:iCs/>
          <w:sz w:val="22"/>
        </w:rPr>
        <w:t>entering a highly fragmented market</w:t>
      </w:r>
      <w:r w:rsidRPr="001339F9">
        <w:rPr>
          <w:iCs/>
          <w:sz w:val="22"/>
        </w:rPr>
        <w:t xml:space="preserve"> of individual end users – assuming that the utility aggregates potential energy renovation projects. Secondly, the energy utility may provide additional information for the </w:t>
      </w:r>
      <w:r w:rsidR="00CD0DD1" w:rsidRPr="001339F9">
        <w:rPr>
          <w:iCs/>
          <w:sz w:val="22"/>
        </w:rPr>
        <w:t>final customer’s</w:t>
      </w:r>
      <w:r w:rsidRPr="001339F9">
        <w:rPr>
          <w:iCs/>
          <w:sz w:val="22"/>
        </w:rPr>
        <w:t xml:space="preserve"> </w:t>
      </w:r>
      <w:r w:rsidRPr="001339F9">
        <w:rPr>
          <w:b/>
          <w:iCs/>
          <w:sz w:val="22"/>
        </w:rPr>
        <w:t>creditworthiness assessment</w:t>
      </w:r>
      <w:r w:rsidRPr="001339F9">
        <w:rPr>
          <w:iCs/>
          <w:sz w:val="22"/>
        </w:rPr>
        <w:t xml:space="preserve"> (e.g. bill payment history) that otherwise remain inaccessible for a financial institution. </w:t>
      </w:r>
    </w:p>
    <w:p w14:paraId="59F75D3C" w14:textId="2EDA1CCC" w:rsidR="0078032C" w:rsidRPr="001339F9" w:rsidRDefault="0078032C" w:rsidP="00E63A5E">
      <w:pPr>
        <w:rPr>
          <w:iCs/>
          <w:sz w:val="22"/>
          <w:u w:val="single"/>
        </w:rPr>
      </w:pPr>
      <w:r w:rsidRPr="001339F9">
        <w:rPr>
          <w:iCs/>
          <w:sz w:val="22"/>
          <w:u w:val="single"/>
        </w:rPr>
        <w:t xml:space="preserve">Benefits of on-bill schemes for the </w:t>
      </w:r>
      <w:r w:rsidR="0040573D" w:rsidRPr="001339F9">
        <w:rPr>
          <w:iCs/>
          <w:sz w:val="22"/>
          <w:u w:val="single"/>
        </w:rPr>
        <w:t>final customer</w:t>
      </w:r>
    </w:p>
    <w:p w14:paraId="648820A5" w14:textId="276C4341" w:rsidR="00A51BFA" w:rsidRPr="001339F9" w:rsidRDefault="00E16B6D" w:rsidP="00C54AD3">
      <w:pPr>
        <w:rPr>
          <w:sz w:val="22"/>
        </w:rPr>
      </w:pPr>
      <w:r w:rsidRPr="001339F9">
        <w:rPr>
          <w:sz w:val="22"/>
        </w:rPr>
        <w:t xml:space="preserve">Looking at the demand side of potential on-bill schemes, workshop participants also debated </w:t>
      </w:r>
      <w:r w:rsidR="0040573D" w:rsidRPr="001339F9">
        <w:rPr>
          <w:sz w:val="22"/>
        </w:rPr>
        <w:t xml:space="preserve">about the attractiveness of on-bill schemes for the final customer. The main argument was that final customers do not need to provide the </w:t>
      </w:r>
      <w:r w:rsidR="0040573D" w:rsidRPr="001339F9">
        <w:rPr>
          <w:b/>
          <w:sz w:val="22"/>
        </w:rPr>
        <w:t xml:space="preserve">upfront </w:t>
      </w:r>
      <w:r w:rsidR="00DC7664" w:rsidRPr="001339F9">
        <w:rPr>
          <w:b/>
          <w:sz w:val="22"/>
        </w:rPr>
        <w:t xml:space="preserve">investment </w:t>
      </w:r>
      <w:r w:rsidR="0040573D" w:rsidRPr="001339F9">
        <w:rPr>
          <w:b/>
          <w:sz w:val="22"/>
        </w:rPr>
        <w:t>capital</w:t>
      </w:r>
      <w:r w:rsidR="0040573D" w:rsidRPr="001339F9">
        <w:rPr>
          <w:sz w:val="22"/>
        </w:rPr>
        <w:t xml:space="preserve"> for the energy renovation intervention themselves. This is particularly interesting for those customers who may have difficulties in obtaining regular bank loans, including for instance:</w:t>
      </w:r>
    </w:p>
    <w:p w14:paraId="0E612E3B" w14:textId="273964A1" w:rsidR="0040573D" w:rsidRPr="001339F9" w:rsidRDefault="0040573D" w:rsidP="0040573D">
      <w:pPr>
        <w:pStyle w:val="Listenabsatz"/>
        <w:numPr>
          <w:ilvl w:val="0"/>
          <w:numId w:val="13"/>
        </w:numPr>
        <w:rPr>
          <w:sz w:val="22"/>
        </w:rPr>
      </w:pPr>
      <w:r w:rsidRPr="001339F9">
        <w:rPr>
          <w:sz w:val="22"/>
        </w:rPr>
        <w:t xml:space="preserve">Elderly people who cannot or do not want to apply for a regular bank loan but still seek to increase their property’s value through energy renovation (e.g. before selling or inheriting the property); </w:t>
      </w:r>
    </w:p>
    <w:p w14:paraId="5FD62E7B" w14:textId="6C65B0D3" w:rsidR="0040573D" w:rsidRPr="001339F9" w:rsidRDefault="0040573D" w:rsidP="0040573D">
      <w:pPr>
        <w:pStyle w:val="Listenabsatz"/>
        <w:numPr>
          <w:ilvl w:val="0"/>
          <w:numId w:val="13"/>
        </w:numPr>
        <w:rPr>
          <w:sz w:val="22"/>
        </w:rPr>
      </w:pPr>
      <w:r w:rsidRPr="001339F9">
        <w:rPr>
          <w:sz w:val="22"/>
        </w:rPr>
        <w:t xml:space="preserve">Self-employed people; </w:t>
      </w:r>
    </w:p>
    <w:p w14:paraId="143D77C8" w14:textId="47FB85BC" w:rsidR="0040573D" w:rsidRPr="001339F9" w:rsidRDefault="0040573D" w:rsidP="0040573D">
      <w:pPr>
        <w:pStyle w:val="Listenabsatz"/>
        <w:numPr>
          <w:ilvl w:val="0"/>
          <w:numId w:val="13"/>
        </w:numPr>
        <w:rPr>
          <w:sz w:val="22"/>
        </w:rPr>
      </w:pPr>
      <w:r w:rsidRPr="001339F9">
        <w:rPr>
          <w:sz w:val="22"/>
        </w:rPr>
        <w:t xml:space="preserve">People who have recently borrowed money from a bank (e.g. </w:t>
      </w:r>
      <w:proofErr w:type="gramStart"/>
      <w:r w:rsidRPr="001339F9">
        <w:rPr>
          <w:sz w:val="22"/>
        </w:rPr>
        <w:t>for the purpose of</w:t>
      </w:r>
      <w:proofErr w:type="gramEnd"/>
      <w:r w:rsidRPr="001339F9">
        <w:rPr>
          <w:sz w:val="22"/>
        </w:rPr>
        <w:t xml:space="preserve"> buying a house) and are hesitant to increase their debt obligations. </w:t>
      </w:r>
    </w:p>
    <w:p w14:paraId="5641E24A" w14:textId="27BFB3AD" w:rsidR="0040573D" w:rsidRPr="001339F9" w:rsidRDefault="0040573D" w:rsidP="0040573D">
      <w:pPr>
        <w:rPr>
          <w:sz w:val="22"/>
        </w:rPr>
      </w:pPr>
      <w:r w:rsidRPr="001339F9">
        <w:rPr>
          <w:sz w:val="22"/>
        </w:rPr>
        <w:t xml:space="preserve">One of the bank representatives participating in the workshop also raised that point that private customers often receiver less favourable loan conditions than companies. This also makes financing through a utility bill more attractive than taking up a regular bank loan. </w:t>
      </w:r>
    </w:p>
    <w:p w14:paraId="005CCB25" w14:textId="3FEAEE6F" w:rsidR="0040573D" w:rsidRPr="001339F9" w:rsidRDefault="007D7FDB" w:rsidP="0040573D">
      <w:pPr>
        <w:rPr>
          <w:sz w:val="22"/>
        </w:rPr>
      </w:pPr>
      <w:r w:rsidRPr="001339F9">
        <w:rPr>
          <w:sz w:val="22"/>
        </w:rPr>
        <w:t>In case final customers do not have difficulties in self-financing an energy renovation and/or in receiving a regular bank loan, the main selling point of an on-bill scheme would be its “</w:t>
      </w:r>
      <w:r w:rsidRPr="001339F9">
        <w:rPr>
          <w:b/>
          <w:sz w:val="22"/>
        </w:rPr>
        <w:t>one-stop shop</w:t>
      </w:r>
      <w:r w:rsidRPr="001339F9">
        <w:rPr>
          <w:sz w:val="22"/>
        </w:rPr>
        <w:t xml:space="preserve">” feature, that is the comprehensive service offer provided by the utility. </w:t>
      </w:r>
    </w:p>
    <w:p w14:paraId="03492CFF" w14:textId="28574F51" w:rsidR="0045425C" w:rsidRPr="001339F9" w:rsidRDefault="0045425C" w:rsidP="00E63A5E">
      <w:pPr>
        <w:rPr>
          <w:iCs/>
          <w:sz w:val="22"/>
          <w:u w:val="single"/>
        </w:rPr>
      </w:pPr>
      <w:r w:rsidRPr="001339F9">
        <w:rPr>
          <w:iCs/>
          <w:sz w:val="22"/>
          <w:u w:val="single"/>
        </w:rPr>
        <w:t>OBS vs. Contracting</w:t>
      </w:r>
    </w:p>
    <w:p w14:paraId="4C3396C6" w14:textId="231705B8" w:rsidR="00F32ED5" w:rsidRPr="001339F9" w:rsidRDefault="00DC7664" w:rsidP="00F32ED5">
      <w:pPr>
        <w:spacing w:before="240" w:after="240"/>
        <w:rPr>
          <w:sz w:val="22"/>
        </w:rPr>
      </w:pPr>
      <w:r w:rsidRPr="001339F9">
        <w:rPr>
          <w:sz w:val="22"/>
        </w:rPr>
        <w:t xml:space="preserve">The question in how far on-bill schemes differ from energy performance contracts </w:t>
      </w:r>
      <w:r w:rsidR="003C4AF1" w:rsidRPr="001339F9">
        <w:rPr>
          <w:sz w:val="22"/>
        </w:rPr>
        <w:t xml:space="preserve">(EPC) </w:t>
      </w:r>
      <w:r w:rsidRPr="001339F9">
        <w:rPr>
          <w:sz w:val="22"/>
        </w:rPr>
        <w:t xml:space="preserve">was of interest to many workshop participants. Based on the discussions with the stakeholders but also on an internal exchange within the consortium partners, some insights on this issue </w:t>
      </w:r>
      <w:proofErr w:type="gramStart"/>
      <w:r w:rsidRPr="001339F9">
        <w:rPr>
          <w:sz w:val="22"/>
        </w:rPr>
        <w:t>have been collected</w:t>
      </w:r>
      <w:proofErr w:type="gramEnd"/>
      <w:r w:rsidRPr="001339F9">
        <w:rPr>
          <w:sz w:val="22"/>
        </w:rPr>
        <w:t xml:space="preserve">. </w:t>
      </w:r>
    </w:p>
    <w:p w14:paraId="7D9C23FF" w14:textId="01845EDB" w:rsidR="001C2B61" w:rsidRPr="001339F9" w:rsidRDefault="003C4AF1" w:rsidP="00F32ED5">
      <w:pPr>
        <w:spacing w:before="240" w:after="240"/>
        <w:rPr>
          <w:sz w:val="22"/>
        </w:rPr>
      </w:pPr>
      <w:r w:rsidRPr="001339F9">
        <w:rPr>
          <w:sz w:val="22"/>
        </w:rPr>
        <w:t xml:space="preserve">In Germany, energy performance contracts have to date mainly been applied in the municipal and commercial building sector, but hardly in the residential sector. Their main feature are the guaranteed energy savings, based on the ESCOs intervention. Measuring and verifying these energy savings is a central element in each EPC. </w:t>
      </w:r>
      <w:r w:rsidR="001C2B61" w:rsidRPr="001339F9">
        <w:rPr>
          <w:sz w:val="22"/>
        </w:rPr>
        <w:t xml:space="preserve">In the residential building sector, however, the guarantee of projected energy savings based on a specific energy renovation intervention is </w:t>
      </w:r>
      <w:r w:rsidR="00F416F1" w:rsidRPr="001339F9">
        <w:rPr>
          <w:sz w:val="22"/>
        </w:rPr>
        <w:t>almost impossible</w:t>
      </w:r>
      <w:r w:rsidR="001C2B61" w:rsidRPr="001339F9">
        <w:rPr>
          <w:sz w:val="22"/>
        </w:rPr>
        <w:t xml:space="preserve"> to achieve due to the i</w:t>
      </w:r>
      <w:r w:rsidR="00976917" w:rsidRPr="001339F9">
        <w:rPr>
          <w:sz w:val="22"/>
        </w:rPr>
        <w:t>ndividual customer’s behaviour.</w:t>
      </w:r>
      <w:r w:rsidR="001C2B61" w:rsidRPr="001339F9">
        <w:rPr>
          <w:sz w:val="22"/>
        </w:rPr>
        <w:t xml:space="preserve"> Against this backdrop, </w:t>
      </w:r>
      <w:r w:rsidR="001C2B61" w:rsidRPr="001339F9">
        <w:rPr>
          <w:sz w:val="22"/>
        </w:rPr>
        <w:lastRenderedPageBreak/>
        <w:t xml:space="preserve">the potential of on-bill schemes for the residential sector is in the possibility of third-party investment capital provision and indirect repayment </w:t>
      </w:r>
      <w:proofErr w:type="gramStart"/>
      <w:r w:rsidR="001C2B61" w:rsidRPr="001339F9">
        <w:rPr>
          <w:sz w:val="22"/>
        </w:rPr>
        <w:t>through the energy bill without the need for a guarantee on the final customer’s energy consumption</w:t>
      </w:r>
      <w:proofErr w:type="gramEnd"/>
      <w:r w:rsidR="001C2B61" w:rsidRPr="001339F9">
        <w:rPr>
          <w:sz w:val="22"/>
        </w:rPr>
        <w:t>. In this sense, on-bill schemes could fil</w:t>
      </w:r>
      <w:r w:rsidR="00F416F1" w:rsidRPr="001339F9">
        <w:rPr>
          <w:sz w:val="22"/>
        </w:rPr>
        <w:t>l a gap by</w:t>
      </w:r>
      <w:r w:rsidR="001C2B61" w:rsidRPr="001339F9">
        <w:rPr>
          <w:sz w:val="22"/>
        </w:rPr>
        <w:t xml:space="preserve"> addressing the residential sector where EPCs are to date hardly common</w:t>
      </w:r>
      <w:r w:rsidR="00F416F1" w:rsidRPr="001339F9">
        <w:rPr>
          <w:sz w:val="22"/>
        </w:rPr>
        <w:t xml:space="preserve"> and/or feasible</w:t>
      </w:r>
      <w:r w:rsidR="001C2B61" w:rsidRPr="001339F9">
        <w:rPr>
          <w:sz w:val="22"/>
        </w:rPr>
        <w:t xml:space="preserve">. </w:t>
      </w:r>
      <w:proofErr w:type="gramStart"/>
      <w:r w:rsidR="001C2B61" w:rsidRPr="001339F9">
        <w:rPr>
          <w:sz w:val="22"/>
        </w:rPr>
        <w:t>Also</w:t>
      </w:r>
      <w:proofErr w:type="gramEnd"/>
      <w:r w:rsidR="001C2B61" w:rsidRPr="001339F9">
        <w:rPr>
          <w:sz w:val="22"/>
        </w:rPr>
        <w:t xml:space="preserve">, OBS could target small-scale investments and/or smaller lots of investment projects as opposed to contracting schemes. </w:t>
      </w:r>
    </w:p>
    <w:p w14:paraId="0B8E1C9B" w14:textId="6670990A" w:rsidR="00F32ED5" w:rsidRPr="001339F9" w:rsidRDefault="001C2B61" w:rsidP="00662A40">
      <w:pPr>
        <w:rPr>
          <w:iCs/>
          <w:sz w:val="22"/>
          <w:u w:val="single"/>
        </w:rPr>
      </w:pPr>
      <w:r w:rsidRPr="001339F9">
        <w:rPr>
          <w:iCs/>
          <w:sz w:val="22"/>
          <w:u w:val="single"/>
        </w:rPr>
        <w:t>P</w:t>
      </w:r>
      <w:r w:rsidR="0045425C" w:rsidRPr="001339F9">
        <w:rPr>
          <w:iCs/>
          <w:sz w:val="22"/>
          <w:u w:val="single"/>
        </w:rPr>
        <w:t>olitical support</w:t>
      </w:r>
    </w:p>
    <w:p w14:paraId="6902F9DC" w14:textId="62CFB4BB" w:rsidR="00662A40" w:rsidRPr="001339F9" w:rsidRDefault="00662A40" w:rsidP="00662A40">
      <w:pPr>
        <w:rPr>
          <w:iCs/>
          <w:sz w:val="22"/>
        </w:rPr>
      </w:pPr>
      <w:r w:rsidRPr="001339F9">
        <w:rPr>
          <w:iCs/>
          <w:sz w:val="22"/>
        </w:rPr>
        <w:t xml:space="preserve">Increasing energy renovation rates in the residential building sector is a political aim – both at national and at EU level – and </w:t>
      </w:r>
      <w:proofErr w:type="gramStart"/>
      <w:r w:rsidRPr="001339F9">
        <w:rPr>
          <w:iCs/>
          <w:sz w:val="22"/>
        </w:rPr>
        <w:t>should therefore be strongly promoted</w:t>
      </w:r>
      <w:proofErr w:type="gramEnd"/>
      <w:r w:rsidRPr="001339F9">
        <w:rPr>
          <w:iCs/>
          <w:sz w:val="22"/>
        </w:rPr>
        <w:t xml:space="preserve"> by public entities. Public support schemes for deep renovation measures could be enhanced, for instance for interventions targeting the envelope of multi-family buildings. Workshop participants pointed out that one reason why on-bill schemes are successful in the North American context is the existence of energy efficiency obligations for utilities. These obligations are a major incentive for utilities become involved in on-bill schemes and </w:t>
      </w:r>
      <w:proofErr w:type="gramStart"/>
      <w:r w:rsidRPr="001339F9">
        <w:rPr>
          <w:iCs/>
          <w:sz w:val="22"/>
        </w:rPr>
        <w:t>could also</w:t>
      </w:r>
      <w:proofErr w:type="gramEnd"/>
      <w:r w:rsidRPr="001339F9">
        <w:rPr>
          <w:iCs/>
          <w:sz w:val="22"/>
        </w:rPr>
        <w:t xml:space="preserve"> be an impetus for utilities’ increased engagement in energy renovation in Germany. </w:t>
      </w:r>
    </w:p>
    <w:p w14:paraId="55554F3C" w14:textId="3F15805F" w:rsidR="00662A40" w:rsidRPr="001339F9" w:rsidRDefault="00662A40" w:rsidP="00662A40">
      <w:pPr>
        <w:rPr>
          <w:iCs/>
          <w:sz w:val="22"/>
        </w:rPr>
      </w:pPr>
      <w:r w:rsidRPr="001339F9">
        <w:rPr>
          <w:iCs/>
          <w:sz w:val="22"/>
        </w:rPr>
        <w:t>At European level, the</w:t>
      </w:r>
      <w:r w:rsidR="00E44BF9" w:rsidRPr="001339F9">
        <w:rPr>
          <w:iCs/>
          <w:sz w:val="22"/>
        </w:rPr>
        <w:t xml:space="preserve"> initiative</w:t>
      </w:r>
      <w:r w:rsidRPr="001339F9">
        <w:rPr>
          <w:iCs/>
          <w:sz w:val="22"/>
        </w:rPr>
        <w:t xml:space="preserve"> </w:t>
      </w:r>
      <w:r w:rsidR="00E44BF9" w:rsidRPr="001339F9">
        <w:rPr>
          <w:iCs/>
          <w:sz w:val="22"/>
        </w:rPr>
        <w:t>“</w:t>
      </w:r>
      <w:r w:rsidRPr="001339F9">
        <w:rPr>
          <w:iCs/>
          <w:sz w:val="22"/>
        </w:rPr>
        <w:t>Smart Finance for Smart Building</w:t>
      </w:r>
      <w:r w:rsidR="00E44BF9" w:rsidRPr="001339F9">
        <w:rPr>
          <w:iCs/>
          <w:sz w:val="22"/>
        </w:rPr>
        <w:t>s”</w:t>
      </w:r>
      <w:r w:rsidRPr="001339F9">
        <w:rPr>
          <w:iCs/>
          <w:sz w:val="22"/>
        </w:rPr>
        <w:t xml:space="preserve"> </w:t>
      </w:r>
      <w:proofErr w:type="gramStart"/>
      <w:r w:rsidRPr="001339F9">
        <w:rPr>
          <w:iCs/>
          <w:sz w:val="22"/>
        </w:rPr>
        <w:t>was mentioned</w:t>
      </w:r>
      <w:proofErr w:type="gramEnd"/>
      <w:r w:rsidRPr="001339F9">
        <w:rPr>
          <w:iCs/>
          <w:sz w:val="22"/>
        </w:rPr>
        <w:t xml:space="preserve"> as a potential support mechanism for on-bill schemes. </w:t>
      </w:r>
    </w:p>
    <w:p w14:paraId="2E942B2D" w14:textId="6B446526" w:rsidR="0078032C" w:rsidRPr="001339F9" w:rsidRDefault="000D64C5" w:rsidP="00E63A5E">
      <w:pPr>
        <w:rPr>
          <w:iCs/>
          <w:sz w:val="22"/>
          <w:u w:val="single"/>
        </w:rPr>
      </w:pPr>
      <w:r w:rsidRPr="001339F9">
        <w:rPr>
          <w:iCs/>
          <w:sz w:val="22"/>
          <w:u w:val="single"/>
        </w:rPr>
        <w:t>Risk management</w:t>
      </w:r>
    </w:p>
    <w:p w14:paraId="0914EFEE" w14:textId="3FAAFB79" w:rsidR="00F32ED5" w:rsidRPr="001339F9" w:rsidRDefault="00C349BC" w:rsidP="00F32ED5">
      <w:pPr>
        <w:rPr>
          <w:iCs/>
          <w:sz w:val="22"/>
          <w:u w:val="single"/>
        </w:rPr>
      </w:pPr>
      <w:r w:rsidRPr="001339F9">
        <w:rPr>
          <w:sz w:val="22"/>
        </w:rPr>
        <w:t>Many stakeholders considered r</w:t>
      </w:r>
      <w:r w:rsidR="00F32ED5" w:rsidRPr="001339F9">
        <w:rPr>
          <w:sz w:val="22"/>
        </w:rPr>
        <w:t xml:space="preserve">isk management </w:t>
      </w:r>
      <w:r w:rsidRPr="001339F9">
        <w:rPr>
          <w:sz w:val="22"/>
        </w:rPr>
        <w:t>a bottleneck issue</w:t>
      </w:r>
      <w:r w:rsidR="00F32ED5" w:rsidRPr="001339F9">
        <w:rPr>
          <w:sz w:val="22"/>
        </w:rPr>
        <w:t xml:space="preserve"> since there is no agreement (yet) on how the financial and technical risks of an on-bill scheme </w:t>
      </w:r>
      <w:proofErr w:type="gramStart"/>
      <w:r w:rsidR="00F32ED5" w:rsidRPr="001339F9">
        <w:rPr>
          <w:sz w:val="22"/>
        </w:rPr>
        <w:t>could be managed</w:t>
      </w:r>
      <w:proofErr w:type="gramEnd"/>
      <w:r w:rsidR="00F32ED5" w:rsidRPr="001339F9">
        <w:rPr>
          <w:sz w:val="22"/>
        </w:rPr>
        <w:t xml:space="preserve"> between the parties involved in the scheme.</w:t>
      </w:r>
      <w:r w:rsidR="00902798" w:rsidRPr="001339F9">
        <w:rPr>
          <w:sz w:val="22"/>
        </w:rPr>
        <w:t xml:space="preserve"> Thi</w:t>
      </w:r>
      <w:r w:rsidRPr="001339F9">
        <w:rPr>
          <w:sz w:val="22"/>
        </w:rPr>
        <w:t xml:space="preserve">s becomes particular relevant in long-term contractual arrangements for deep renovation interventions. </w:t>
      </w:r>
    </w:p>
    <w:p w14:paraId="3F2197AA" w14:textId="77777777" w:rsidR="00E63A5E" w:rsidRPr="009048A2" w:rsidRDefault="00E63A5E" w:rsidP="00E63A5E"/>
    <w:p w14:paraId="3904C94D" w14:textId="471E2817" w:rsidR="0078605E" w:rsidRPr="00DD0E11" w:rsidRDefault="00DD0E11" w:rsidP="00DD0E11">
      <w:pPr>
        <w:rPr>
          <w:b/>
          <w:sz w:val="32"/>
        </w:rPr>
      </w:pPr>
      <w:r w:rsidRPr="00DD0E11">
        <w:rPr>
          <w:b/>
          <w:sz w:val="32"/>
        </w:rPr>
        <w:t>CROSS-COUNTRY COMPARISON</w:t>
      </w:r>
    </w:p>
    <w:p w14:paraId="78EF1166" w14:textId="576191F6" w:rsidR="00C815ED" w:rsidRPr="001339F9" w:rsidRDefault="00C815ED" w:rsidP="00C815ED">
      <w:pPr>
        <w:rPr>
          <w:sz w:val="22"/>
        </w:rPr>
      </w:pPr>
      <w:r w:rsidRPr="001339F9">
        <w:rPr>
          <w:sz w:val="22"/>
        </w:rPr>
        <w:t xml:space="preserve">During all four </w:t>
      </w:r>
      <w:r w:rsidR="005820FF" w:rsidRPr="001339F9">
        <w:rPr>
          <w:sz w:val="22"/>
        </w:rPr>
        <w:t xml:space="preserve">national </w:t>
      </w:r>
      <w:r w:rsidRPr="001339F9">
        <w:rPr>
          <w:sz w:val="22"/>
        </w:rPr>
        <w:t>workshops</w:t>
      </w:r>
      <w:r w:rsidR="005820FF" w:rsidRPr="001339F9">
        <w:rPr>
          <w:sz w:val="22"/>
        </w:rPr>
        <w:t xml:space="preserve"> in Spain, Italy, Lithuania, and Germany</w:t>
      </w:r>
      <w:r w:rsidRPr="001339F9">
        <w:rPr>
          <w:sz w:val="22"/>
        </w:rPr>
        <w:t>, participants discussed questions related to the relevant target market</w:t>
      </w:r>
      <w:r w:rsidR="00F50A5D" w:rsidRPr="001339F9">
        <w:rPr>
          <w:sz w:val="22"/>
        </w:rPr>
        <w:t xml:space="preserve"> segments</w:t>
      </w:r>
      <w:r w:rsidRPr="001339F9">
        <w:rPr>
          <w:sz w:val="22"/>
        </w:rPr>
        <w:t xml:space="preserve"> and to the preferences in terms of source of financing for the on-bill scheme (OBS vs. OBR). </w:t>
      </w:r>
      <w:r w:rsidR="00AC6A0A" w:rsidRPr="001339F9">
        <w:rPr>
          <w:sz w:val="22"/>
        </w:rPr>
        <w:t>By</w:t>
      </w:r>
      <w:r w:rsidR="00901FFB" w:rsidRPr="001339F9">
        <w:rPr>
          <w:sz w:val="22"/>
        </w:rPr>
        <w:t xml:space="preserve"> comparison, one can see that </w:t>
      </w:r>
      <w:r w:rsidR="00190D0F" w:rsidRPr="001339F9">
        <w:rPr>
          <w:sz w:val="22"/>
        </w:rPr>
        <w:t>“</w:t>
      </w:r>
      <w:r w:rsidR="00216980" w:rsidRPr="001339F9">
        <w:rPr>
          <w:sz w:val="22"/>
        </w:rPr>
        <w:t>owner-occupied multi-family buildings</w:t>
      </w:r>
      <w:r w:rsidR="00190D0F" w:rsidRPr="001339F9">
        <w:rPr>
          <w:sz w:val="22"/>
        </w:rPr>
        <w:t>”</w:t>
      </w:r>
      <w:r w:rsidR="00216980" w:rsidRPr="001339F9">
        <w:rPr>
          <w:sz w:val="22"/>
        </w:rPr>
        <w:t xml:space="preserve"> represent</w:t>
      </w:r>
      <w:r w:rsidR="00190D0F" w:rsidRPr="001339F9">
        <w:rPr>
          <w:sz w:val="22"/>
        </w:rPr>
        <w:t>s</w:t>
      </w:r>
      <w:r w:rsidR="00216980" w:rsidRPr="001339F9">
        <w:rPr>
          <w:sz w:val="22"/>
        </w:rPr>
        <w:t xml:space="preserve"> </w:t>
      </w:r>
      <w:r w:rsidR="00901FFB" w:rsidRPr="001339F9">
        <w:rPr>
          <w:sz w:val="22"/>
        </w:rPr>
        <w:t xml:space="preserve">the most promising </w:t>
      </w:r>
      <w:r w:rsidR="00F50A5D" w:rsidRPr="001339F9">
        <w:rPr>
          <w:sz w:val="22"/>
        </w:rPr>
        <w:t>segment</w:t>
      </w:r>
      <w:r w:rsidR="00901FFB" w:rsidRPr="001339F9">
        <w:rPr>
          <w:sz w:val="22"/>
        </w:rPr>
        <w:t xml:space="preserve"> for on-bill schemes</w:t>
      </w:r>
      <w:r w:rsidR="00CC1FF4" w:rsidRPr="001339F9">
        <w:rPr>
          <w:sz w:val="22"/>
        </w:rPr>
        <w:t xml:space="preserve">, </w:t>
      </w:r>
      <w:proofErr w:type="gramStart"/>
      <w:r w:rsidR="00190D0F" w:rsidRPr="001339F9">
        <w:rPr>
          <w:sz w:val="22"/>
        </w:rPr>
        <w:t xml:space="preserve">as it </w:t>
      </w:r>
      <w:r w:rsidR="009163B2" w:rsidRPr="001339F9">
        <w:rPr>
          <w:sz w:val="22"/>
        </w:rPr>
        <w:t>is</w:t>
      </w:r>
      <w:r w:rsidR="00190D0F" w:rsidRPr="001339F9">
        <w:rPr>
          <w:sz w:val="22"/>
        </w:rPr>
        <w:t xml:space="preserve"> </w:t>
      </w:r>
      <w:r w:rsidR="00CC1FF4" w:rsidRPr="001339F9">
        <w:rPr>
          <w:sz w:val="22"/>
        </w:rPr>
        <w:t xml:space="preserve">the only </w:t>
      </w:r>
      <w:r w:rsidR="009163B2" w:rsidRPr="001339F9">
        <w:rPr>
          <w:sz w:val="22"/>
        </w:rPr>
        <w:t>one that</w:t>
      </w:r>
      <w:r w:rsidR="00190D0F" w:rsidRPr="001339F9">
        <w:rPr>
          <w:sz w:val="22"/>
        </w:rPr>
        <w:t xml:space="preserve"> is </w:t>
      </w:r>
      <w:r w:rsidR="00CC1FF4" w:rsidRPr="001339F9">
        <w:rPr>
          <w:sz w:val="22"/>
        </w:rPr>
        <w:t>relevant</w:t>
      </w:r>
      <w:r w:rsidR="00901FFB" w:rsidRPr="001339F9">
        <w:rPr>
          <w:sz w:val="22"/>
        </w:rPr>
        <w:t xml:space="preserve"> across all four countries</w:t>
      </w:r>
      <w:proofErr w:type="gramEnd"/>
      <w:r w:rsidR="00901FFB" w:rsidRPr="001339F9">
        <w:rPr>
          <w:sz w:val="22"/>
        </w:rPr>
        <w:t>.</w:t>
      </w:r>
      <w:r w:rsidR="009163B2" w:rsidRPr="001339F9">
        <w:rPr>
          <w:sz w:val="22"/>
        </w:rPr>
        <w:t xml:space="preserve"> At the same time,</w:t>
      </w:r>
      <w:r w:rsidR="00901FFB" w:rsidRPr="001339F9">
        <w:rPr>
          <w:sz w:val="22"/>
        </w:rPr>
        <w:t xml:space="preserve"> participants were aware of the complications that may arise when realising an energy renovation intervention in a setting where owners</w:t>
      </w:r>
      <w:r w:rsidR="00EA1689" w:rsidRPr="001339F9">
        <w:rPr>
          <w:sz w:val="22"/>
        </w:rPr>
        <w:t xml:space="preserve"> may hold</w:t>
      </w:r>
      <w:r w:rsidR="00901FFB" w:rsidRPr="001339F9">
        <w:rPr>
          <w:sz w:val="22"/>
        </w:rPr>
        <w:t xml:space="preserve"> multiple </w:t>
      </w:r>
      <w:r w:rsidR="00EA1689" w:rsidRPr="001339F9">
        <w:rPr>
          <w:sz w:val="22"/>
        </w:rPr>
        <w:t xml:space="preserve">and different </w:t>
      </w:r>
      <w:r w:rsidR="00901FFB" w:rsidRPr="001339F9">
        <w:rPr>
          <w:sz w:val="22"/>
        </w:rPr>
        <w:t xml:space="preserve">interests. </w:t>
      </w:r>
    </w:p>
    <w:p w14:paraId="216A7F59" w14:textId="2452CF73" w:rsidR="00210E10" w:rsidRPr="001339F9" w:rsidRDefault="00901FFB" w:rsidP="00C815ED">
      <w:pPr>
        <w:rPr>
          <w:sz w:val="22"/>
        </w:rPr>
      </w:pPr>
      <w:r w:rsidRPr="001339F9">
        <w:rPr>
          <w:sz w:val="22"/>
        </w:rPr>
        <w:t xml:space="preserve">In Spain and Germany, single-family houses </w:t>
      </w:r>
      <w:proofErr w:type="gramStart"/>
      <w:r w:rsidRPr="001339F9">
        <w:rPr>
          <w:sz w:val="22"/>
        </w:rPr>
        <w:t>were also considered</w:t>
      </w:r>
      <w:proofErr w:type="gramEnd"/>
      <w:r w:rsidRPr="001339F9">
        <w:rPr>
          <w:sz w:val="22"/>
        </w:rPr>
        <w:t xml:space="preserve"> a potential </w:t>
      </w:r>
      <w:r w:rsidR="00F50A5D" w:rsidRPr="001339F9">
        <w:rPr>
          <w:sz w:val="22"/>
        </w:rPr>
        <w:t>segment</w:t>
      </w:r>
      <w:r w:rsidRPr="001339F9">
        <w:rPr>
          <w:sz w:val="22"/>
        </w:rPr>
        <w:t xml:space="preserve"> that may serve as a comparatively easy entry point for on-bill renovation measures. </w:t>
      </w:r>
    </w:p>
    <w:p w14:paraId="5B34CC27" w14:textId="4473AD73" w:rsidR="00901FFB" w:rsidRPr="001339F9" w:rsidRDefault="00901FFB" w:rsidP="00C815ED">
      <w:pPr>
        <w:rPr>
          <w:sz w:val="22"/>
        </w:rPr>
      </w:pPr>
      <w:r w:rsidRPr="001339F9">
        <w:rPr>
          <w:sz w:val="22"/>
        </w:rPr>
        <w:t xml:space="preserve">Social housing entities, however, </w:t>
      </w:r>
      <w:proofErr w:type="gramStart"/>
      <w:r w:rsidR="00210E10" w:rsidRPr="001339F9">
        <w:rPr>
          <w:sz w:val="22"/>
        </w:rPr>
        <w:t>were only mentioned</w:t>
      </w:r>
      <w:proofErr w:type="gramEnd"/>
      <w:r w:rsidRPr="001339F9">
        <w:rPr>
          <w:sz w:val="22"/>
        </w:rPr>
        <w:t xml:space="preserve"> in the Italian context. </w:t>
      </w:r>
      <w:r w:rsidR="00210E10" w:rsidRPr="001339F9">
        <w:rPr>
          <w:sz w:val="22"/>
        </w:rPr>
        <w:t xml:space="preserve">In any case, </w:t>
      </w:r>
      <w:r w:rsidR="00564268" w:rsidRPr="001339F9">
        <w:rPr>
          <w:sz w:val="22"/>
        </w:rPr>
        <w:t>the select</w:t>
      </w:r>
      <w:r w:rsidR="00806876" w:rsidRPr="001339F9">
        <w:rPr>
          <w:sz w:val="22"/>
        </w:rPr>
        <w:t>ion</w:t>
      </w:r>
      <w:r w:rsidR="00564268" w:rsidRPr="001339F9">
        <w:rPr>
          <w:sz w:val="22"/>
        </w:rPr>
        <w:t xml:space="preserve"> </w:t>
      </w:r>
      <w:proofErr w:type="gramStart"/>
      <w:r w:rsidR="00806876" w:rsidRPr="001339F9">
        <w:rPr>
          <w:sz w:val="22"/>
        </w:rPr>
        <w:t xml:space="preserve">of </w:t>
      </w:r>
      <w:r w:rsidR="00564268" w:rsidRPr="001339F9">
        <w:rPr>
          <w:sz w:val="22"/>
        </w:rPr>
        <w:t xml:space="preserve"> market</w:t>
      </w:r>
      <w:proofErr w:type="gramEnd"/>
      <w:r w:rsidR="00F50A5D" w:rsidRPr="001339F9">
        <w:rPr>
          <w:sz w:val="22"/>
        </w:rPr>
        <w:t xml:space="preserve"> segments</w:t>
      </w:r>
      <w:r w:rsidR="00564268" w:rsidRPr="001339F9">
        <w:rPr>
          <w:sz w:val="22"/>
        </w:rPr>
        <w:t xml:space="preserve"> may depend on the stakeholders who participate in the </w:t>
      </w:r>
      <w:r w:rsidR="00806876" w:rsidRPr="001339F9">
        <w:rPr>
          <w:sz w:val="22"/>
        </w:rPr>
        <w:t>exchange</w:t>
      </w:r>
      <w:r w:rsidR="00564268" w:rsidRPr="001339F9">
        <w:rPr>
          <w:sz w:val="22"/>
        </w:rPr>
        <w:t xml:space="preserve">. In Spain, for instance, no social agents participated in the prototyping workshop and therefore, social housing </w:t>
      </w:r>
      <w:proofErr w:type="gramStart"/>
      <w:r w:rsidR="00564268" w:rsidRPr="001339F9">
        <w:rPr>
          <w:sz w:val="22"/>
        </w:rPr>
        <w:t>was not discussed</w:t>
      </w:r>
      <w:proofErr w:type="gramEnd"/>
      <w:r w:rsidR="00564268" w:rsidRPr="001339F9">
        <w:rPr>
          <w:sz w:val="22"/>
        </w:rPr>
        <w:t xml:space="preserve"> as a primary market</w:t>
      </w:r>
      <w:r w:rsidR="00F50A5D" w:rsidRPr="001339F9">
        <w:rPr>
          <w:sz w:val="22"/>
        </w:rPr>
        <w:t xml:space="preserve"> segment</w:t>
      </w:r>
      <w:r w:rsidR="00564268" w:rsidRPr="001339F9">
        <w:rPr>
          <w:sz w:val="22"/>
        </w:rPr>
        <w:t xml:space="preserve"> for on-bill schemes. </w:t>
      </w:r>
    </w:p>
    <w:p w14:paraId="082F18A9" w14:textId="1DFAE4DB" w:rsidR="00901FFB" w:rsidRPr="001339F9" w:rsidRDefault="00901FFB" w:rsidP="00C815ED">
      <w:pPr>
        <w:rPr>
          <w:sz w:val="22"/>
        </w:rPr>
      </w:pPr>
      <w:r w:rsidRPr="001339F9">
        <w:rPr>
          <w:sz w:val="22"/>
        </w:rPr>
        <w:lastRenderedPageBreak/>
        <w:t xml:space="preserve">In terms of the overall preferred on-bill model, all participants agreed that for any large-scale intervention on-bill repayment (where </w:t>
      </w:r>
      <w:proofErr w:type="gramStart"/>
      <w:r w:rsidRPr="001339F9">
        <w:rPr>
          <w:sz w:val="22"/>
        </w:rPr>
        <w:t>investment capital is provided by a private third party</w:t>
      </w:r>
      <w:proofErr w:type="gramEnd"/>
      <w:r w:rsidRPr="001339F9">
        <w:rPr>
          <w:sz w:val="22"/>
        </w:rPr>
        <w:t xml:space="preserve">) </w:t>
      </w:r>
      <w:r w:rsidR="00870208" w:rsidRPr="001339F9">
        <w:rPr>
          <w:sz w:val="22"/>
        </w:rPr>
        <w:t>appears to be</w:t>
      </w:r>
      <w:r w:rsidRPr="001339F9">
        <w:rPr>
          <w:sz w:val="22"/>
        </w:rPr>
        <w:t xml:space="preserve"> more </w:t>
      </w:r>
      <w:r w:rsidR="00AC6A0A" w:rsidRPr="001339F9">
        <w:rPr>
          <w:sz w:val="22"/>
        </w:rPr>
        <w:t>suit</w:t>
      </w:r>
      <w:r w:rsidR="00870208" w:rsidRPr="001339F9">
        <w:rPr>
          <w:sz w:val="22"/>
        </w:rPr>
        <w:t>able</w:t>
      </w:r>
      <w:r w:rsidR="00AC6A0A" w:rsidRPr="001339F9">
        <w:rPr>
          <w:sz w:val="22"/>
        </w:rPr>
        <w:t xml:space="preserve"> </w:t>
      </w:r>
      <w:r w:rsidRPr="001339F9">
        <w:rPr>
          <w:sz w:val="22"/>
        </w:rPr>
        <w:t xml:space="preserve">than on-bill financing. </w:t>
      </w:r>
      <w:r w:rsidR="00870208" w:rsidRPr="001339F9">
        <w:rPr>
          <w:sz w:val="22"/>
        </w:rPr>
        <w:t xml:space="preserve">Again, this picture may change with more large-scale utilities participating in the exchange. </w:t>
      </w:r>
    </w:p>
    <w:p w14:paraId="3877192A" w14:textId="6C75A95C" w:rsidR="00C815ED" w:rsidRPr="00C815ED" w:rsidRDefault="00C815ED" w:rsidP="00C815ED">
      <w:r w:rsidRPr="001339F9">
        <w:rPr>
          <w:sz w:val="22"/>
        </w:rPr>
        <w:t>The table below summarises these findings</w:t>
      </w:r>
      <w:r>
        <w:t xml:space="preserve">. </w:t>
      </w:r>
    </w:p>
    <w:tbl>
      <w:tblPr>
        <w:tblStyle w:val="Gitternetztabelle1hellAkzent3"/>
        <w:tblW w:w="8272" w:type="dxa"/>
        <w:tblBorders>
          <w:top w:val="single" w:sz="4" w:space="0" w:color="373C78" w:themeColor="accent1"/>
          <w:left w:val="single" w:sz="4" w:space="0" w:color="373C78" w:themeColor="accent1"/>
          <w:bottom w:val="single" w:sz="4" w:space="0" w:color="373C78" w:themeColor="accent1"/>
          <w:right w:val="single" w:sz="4" w:space="0" w:color="373C78" w:themeColor="accent1"/>
          <w:insideH w:val="single" w:sz="4" w:space="0" w:color="373C78" w:themeColor="accent1"/>
          <w:insideV w:val="single" w:sz="4" w:space="0" w:color="373C78" w:themeColor="accent1"/>
        </w:tblBorders>
        <w:tblLook w:val="04A0" w:firstRow="1" w:lastRow="0" w:firstColumn="1" w:lastColumn="0" w:noHBand="0" w:noVBand="1"/>
      </w:tblPr>
      <w:tblGrid>
        <w:gridCol w:w="1187"/>
        <w:gridCol w:w="1417"/>
        <w:gridCol w:w="1417"/>
        <w:gridCol w:w="1417"/>
        <w:gridCol w:w="1417"/>
        <w:gridCol w:w="1417"/>
      </w:tblGrid>
      <w:tr w:rsidR="00FE7A5C" w14:paraId="635A9BF8" w14:textId="77777777" w:rsidTr="00DD0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tcBorders>
              <w:top w:val="nil"/>
              <w:left w:val="nil"/>
              <w:bottom w:val="nil"/>
            </w:tcBorders>
          </w:tcPr>
          <w:p w14:paraId="4DE9F732" w14:textId="77777777" w:rsidR="00FE7A5C" w:rsidRPr="006D0ADA" w:rsidRDefault="00FE7A5C" w:rsidP="00FE7764">
            <w:pPr>
              <w:rPr>
                <w:rFonts w:asciiTheme="majorHAnsi" w:eastAsiaTheme="majorEastAsia" w:hAnsiTheme="majorHAnsi" w:cstheme="majorBidi"/>
                <w:color w:val="292C59" w:themeColor="accent1" w:themeShade="BF"/>
                <w:szCs w:val="20"/>
                <w:lang w:val="en-US"/>
              </w:rPr>
            </w:pPr>
          </w:p>
        </w:tc>
        <w:tc>
          <w:tcPr>
            <w:tcW w:w="2834" w:type="dxa"/>
            <w:gridSpan w:val="2"/>
            <w:tcBorders>
              <w:bottom w:val="none" w:sz="0" w:space="0" w:color="auto"/>
            </w:tcBorders>
            <w:shd w:val="clear" w:color="auto" w:fill="A3A6D5" w:themeFill="accent1" w:themeFillTint="66"/>
            <w:vAlign w:val="center"/>
          </w:tcPr>
          <w:p w14:paraId="53FE2682" w14:textId="724333A8" w:rsidR="00FE7A5C" w:rsidRPr="001339F9" w:rsidRDefault="00FE7A5C" w:rsidP="001339F9">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Target market</w:t>
            </w:r>
            <w:r w:rsidR="00F50A5D" w:rsidRPr="001339F9">
              <w:rPr>
                <w:rFonts w:asciiTheme="majorHAnsi" w:eastAsiaTheme="majorEastAsia" w:hAnsiTheme="majorHAnsi" w:cstheme="majorBidi"/>
                <w:color w:val="292C59" w:themeColor="accent1" w:themeShade="BF"/>
                <w:sz w:val="22"/>
                <w:szCs w:val="20"/>
                <w:lang w:val="en-US"/>
              </w:rPr>
              <w:t xml:space="preserve"> segments</w:t>
            </w:r>
          </w:p>
        </w:tc>
        <w:tc>
          <w:tcPr>
            <w:tcW w:w="4251" w:type="dxa"/>
            <w:gridSpan w:val="3"/>
            <w:tcBorders>
              <w:bottom w:val="none" w:sz="0" w:space="0" w:color="auto"/>
            </w:tcBorders>
            <w:shd w:val="clear" w:color="auto" w:fill="A3A6D5" w:themeFill="accent1" w:themeFillTint="66"/>
            <w:vAlign w:val="center"/>
          </w:tcPr>
          <w:p w14:paraId="5B54E824" w14:textId="0BC57D9C" w:rsidR="00FE7A5C" w:rsidRPr="001339F9" w:rsidRDefault="00FE7A5C" w:rsidP="001339F9">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Preferred on-bill model</w:t>
            </w:r>
          </w:p>
        </w:tc>
      </w:tr>
      <w:tr w:rsidR="00FE7A5C" w14:paraId="18E4D107" w14:textId="77777777" w:rsidTr="00DD0E11">
        <w:tc>
          <w:tcPr>
            <w:cnfStyle w:val="001000000000" w:firstRow="0" w:lastRow="0" w:firstColumn="1" w:lastColumn="0" w:oddVBand="0" w:evenVBand="0" w:oddHBand="0" w:evenHBand="0" w:firstRowFirstColumn="0" w:firstRowLastColumn="0" w:lastRowFirstColumn="0" w:lastRowLastColumn="0"/>
            <w:tcW w:w="1187" w:type="dxa"/>
            <w:tcBorders>
              <w:top w:val="nil"/>
              <w:left w:val="nil"/>
            </w:tcBorders>
          </w:tcPr>
          <w:p w14:paraId="6C3F92E9" w14:textId="77777777" w:rsidR="00FE7A5C" w:rsidRPr="006D0ADA" w:rsidRDefault="00FE7A5C" w:rsidP="00FE7764">
            <w:pPr>
              <w:rPr>
                <w:rFonts w:asciiTheme="majorHAnsi" w:eastAsiaTheme="majorEastAsia" w:hAnsiTheme="majorHAnsi" w:cstheme="majorBidi"/>
                <w:color w:val="292C59" w:themeColor="accent1" w:themeShade="BF"/>
                <w:szCs w:val="20"/>
                <w:lang w:val="en-US"/>
              </w:rPr>
            </w:pPr>
          </w:p>
        </w:tc>
        <w:tc>
          <w:tcPr>
            <w:tcW w:w="1417" w:type="dxa"/>
            <w:shd w:val="clear" w:color="auto" w:fill="D1D2EA" w:themeFill="accent1" w:themeFillTint="33"/>
          </w:tcPr>
          <w:p w14:paraId="5DF3D659" w14:textId="390AEEBC" w:rsidR="00FE7A5C" w:rsidRPr="006D0ADA"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r>
              <w:rPr>
                <w:rFonts w:asciiTheme="majorHAnsi" w:eastAsiaTheme="majorEastAsia" w:hAnsiTheme="majorHAnsi" w:cstheme="majorBidi"/>
                <w:color w:val="292C59" w:themeColor="accent1" w:themeShade="BF"/>
                <w:szCs w:val="20"/>
                <w:lang w:val="en-US"/>
              </w:rPr>
              <w:t>Owner-occupied single family-houses</w:t>
            </w:r>
          </w:p>
        </w:tc>
        <w:tc>
          <w:tcPr>
            <w:tcW w:w="1417" w:type="dxa"/>
            <w:shd w:val="clear" w:color="auto" w:fill="D1D2EA" w:themeFill="accent1" w:themeFillTint="33"/>
          </w:tcPr>
          <w:p w14:paraId="4F18A6C1" w14:textId="23010CE0"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Owner-occupied multi-family buildings</w:t>
            </w:r>
          </w:p>
        </w:tc>
        <w:tc>
          <w:tcPr>
            <w:tcW w:w="1417" w:type="dxa"/>
            <w:shd w:val="clear" w:color="auto" w:fill="D1D2EA" w:themeFill="accent1" w:themeFillTint="33"/>
          </w:tcPr>
          <w:p w14:paraId="7FC20975" w14:textId="73D474E7"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Social housing entities</w:t>
            </w:r>
          </w:p>
        </w:tc>
        <w:tc>
          <w:tcPr>
            <w:tcW w:w="1417" w:type="dxa"/>
            <w:shd w:val="clear" w:color="auto" w:fill="D1D2EA" w:themeFill="accent1" w:themeFillTint="33"/>
          </w:tcPr>
          <w:p w14:paraId="467B72E9" w14:textId="38F4B75B"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On-bill financing (OBF)</w:t>
            </w:r>
          </w:p>
        </w:tc>
        <w:tc>
          <w:tcPr>
            <w:tcW w:w="1417" w:type="dxa"/>
            <w:shd w:val="clear" w:color="auto" w:fill="D1D2EA" w:themeFill="accent1" w:themeFillTint="33"/>
          </w:tcPr>
          <w:p w14:paraId="08F422B9" w14:textId="0EF0F338"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On-bill repayment (OBR)</w:t>
            </w:r>
          </w:p>
        </w:tc>
      </w:tr>
      <w:tr w:rsidR="004558E4" w14:paraId="12949A94" w14:textId="77777777" w:rsidTr="00DD0E11">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503BFC85" w14:textId="4EC89B4A"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Lithuania</w:t>
            </w:r>
          </w:p>
        </w:tc>
        <w:tc>
          <w:tcPr>
            <w:tcW w:w="1417" w:type="dxa"/>
            <w:vAlign w:val="center"/>
          </w:tcPr>
          <w:p w14:paraId="285363BE" w14:textId="77777777" w:rsidR="004558E4" w:rsidRPr="006D0ADA"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2226394E" w14:textId="77777777" w:rsidR="004558E4" w:rsidRPr="001339F9" w:rsidRDefault="004558E4" w:rsidP="001339F9">
            <w:pPr>
              <w:pStyle w:val="Listenabsatz"/>
              <w:numPr>
                <w:ilvl w:val="0"/>
                <w:numId w:val="38"/>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F71318A" w14:textId="77777777" w:rsidR="004558E4" w:rsidRPr="001339F9" w:rsidRDefault="004558E4" w:rsidP="001339F9">
            <w:pPr>
              <w:pStyle w:val="Listenabsatz"/>
              <w:numPr>
                <w:ilvl w:val="0"/>
                <w:numId w:val="0"/>
              </w:numPr>
              <w:ind w:left="7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bookmarkStart w:id="2" w:name="_GoBack"/>
            <w:bookmarkEnd w:id="2"/>
          </w:p>
        </w:tc>
        <w:tc>
          <w:tcPr>
            <w:tcW w:w="1417" w:type="dxa"/>
            <w:vAlign w:val="center"/>
          </w:tcPr>
          <w:p w14:paraId="24864A8F"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4EE7181B" w14:textId="77777777" w:rsidR="004558E4" w:rsidRPr="001339F9" w:rsidRDefault="004558E4" w:rsidP="001339F9">
            <w:pPr>
              <w:pStyle w:val="Listenabsatz"/>
              <w:numPr>
                <w:ilvl w:val="0"/>
                <w:numId w:val="38"/>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77449491" w14:textId="77777777" w:rsidTr="00DD0E11">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6F4A4581" w14:textId="40813F26"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Italy</w:t>
            </w:r>
          </w:p>
        </w:tc>
        <w:tc>
          <w:tcPr>
            <w:tcW w:w="1417" w:type="dxa"/>
            <w:vAlign w:val="center"/>
          </w:tcPr>
          <w:p w14:paraId="0F596385" w14:textId="77777777" w:rsidR="004558E4" w:rsidRPr="006D0ADA"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39B80CCF" w14:textId="77777777"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64D044ED" w14:textId="77777777"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3ADE34B"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0F58D8F" w14:textId="0829857A"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1D1E0194" w14:textId="77777777" w:rsidTr="00DD0E11">
        <w:trPr>
          <w:trHeight w:val="50"/>
        </w:trPr>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499C50C7" w14:textId="4AA4950E"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Spain</w:t>
            </w:r>
          </w:p>
        </w:tc>
        <w:tc>
          <w:tcPr>
            <w:tcW w:w="1417" w:type="dxa"/>
            <w:vAlign w:val="center"/>
          </w:tcPr>
          <w:p w14:paraId="0CD3AD26" w14:textId="77777777" w:rsidR="004558E4" w:rsidRPr="00FE7A5C"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1A53A370" w14:textId="77777777" w:rsidR="004558E4" w:rsidRPr="001339F9"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15B1CFB7"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CC1D332"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2CFE8AD" w14:textId="08426287" w:rsidR="004558E4" w:rsidRPr="001339F9" w:rsidRDefault="004558E4" w:rsidP="001339F9">
            <w:pPr>
              <w:pStyle w:val="Listenabsatz"/>
              <w:numPr>
                <w:ilvl w:val="0"/>
                <w:numId w:val="36"/>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10D3396B" w14:textId="77777777" w:rsidTr="00DD0E11">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232F3E3E" w14:textId="2D40D5FB"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Germany</w:t>
            </w:r>
          </w:p>
        </w:tc>
        <w:tc>
          <w:tcPr>
            <w:tcW w:w="1417" w:type="dxa"/>
            <w:vAlign w:val="center"/>
          </w:tcPr>
          <w:p w14:paraId="6673A231" w14:textId="77777777" w:rsidR="004558E4" w:rsidRPr="00FE7A5C"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23D3E2D0" w14:textId="77777777" w:rsidR="004558E4" w:rsidRPr="001339F9"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12B11151"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3C387C4D"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E056A7E" w14:textId="2A9296EA" w:rsidR="004558E4" w:rsidRPr="001339F9" w:rsidRDefault="004558E4" w:rsidP="001339F9">
            <w:pPr>
              <w:pStyle w:val="Listenabsatz"/>
              <w:keepNext/>
              <w:numPr>
                <w:ilvl w:val="0"/>
                <w:numId w:val="36"/>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bl>
    <w:p w14:paraId="7E6DC5DF" w14:textId="34813D65" w:rsidR="00FE69A9" w:rsidRPr="00AC6490" w:rsidRDefault="00FE69A9" w:rsidP="008B2643">
      <w:pPr>
        <w:pStyle w:val="Beschriftung"/>
      </w:pPr>
    </w:p>
    <w:sectPr w:rsidR="00FE69A9" w:rsidRPr="00AC6490" w:rsidSect="0070392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2E8C" w16cex:dateUtc="2020-06-19T10:31:00Z"/>
  <w16cex:commentExtensible w16cex:durableId="22973061" w16cex:dateUtc="2020-06-19T10:38:00Z"/>
  <w16cex:commentExtensible w16cex:durableId="229756FF" w16cex:dateUtc="2020-06-19T13:23:00Z"/>
  <w16cex:commentExtensible w16cex:durableId="229748AE" w16cex:dateUtc="2020-06-19T12:22:00Z"/>
  <w16cex:commentExtensible w16cex:durableId="2297403B" w16cex:dateUtc="2020-06-19T11:46:00Z"/>
  <w16cex:commentExtensible w16cex:durableId="229737AE" w16cex:dateUtc="2020-06-19T11:10:00Z"/>
  <w16cex:commentExtensible w16cex:durableId="229739E8" w16cex:dateUtc="2020-06-19T11:19:00Z"/>
  <w16cex:commentExtensible w16cex:durableId="22973F1C" w16cex:dateUtc="2020-06-19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F472A7" w16cid:durableId="22972E8C"/>
  <w16cid:commentId w16cid:paraId="6B7A9C5B" w16cid:durableId="22973061"/>
  <w16cid:commentId w16cid:paraId="44953157" w16cid:durableId="229756FF"/>
  <w16cid:commentId w16cid:paraId="2E38A730" w16cid:durableId="22962CD0"/>
  <w16cid:commentId w16cid:paraId="5A894AD0" w16cid:durableId="22962CD1"/>
  <w16cid:commentId w16cid:paraId="2E9DE645" w16cid:durableId="22962CD2"/>
  <w16cid:commentId w16cid:paraId="0D7D6D89" w16cid:durableId="22962CD3"/>
  <w16cid:commentId w16cid:paraId="1FDFDF43" w16cid:durableId="22962CD4"/>
  <w16cid:commentId w16cid:paraId="2814B6E2" w16cid:durableId="22962CD5"/>
  <w16cid:commentId w16cid:paraId="34C187A1" w16cid:durableId="22962CD6"/>
  <w16cid:commentId w16cid:paraId="71570501" w16cid:durableId="229748AE"/>
  <w16cid:commentId w16cid:paraId="72C3A673" w16cid:durableId="22962CD7"/>
  <w16cid:commentId w16cid:paraId="6807219A" w16cid:durableId="22962CD8"/>
  <w16cid:commentId w16cid:paraId="2362628B" w16cid:durableId="22962CD9"/>
  <w16cid:commentId w16cid:paraId="7BF19268" w16cid:durableId="2297403B"/>
  <w16cid:commentId w16cid:paraId="285E36D5" w16cid:durableId="22962CDA"/>
  <w16cid:commentId w16cid:paraId="416A4698" w16cid:durableId="22962CDB"/>
  <w16cid:commentId w16cid:paraId="3542C79B" w16cid:durableId="229737AE"/>
  <w16cid:commentId w16cid:paraId="39F7DF43" w16cid:durableId="22962CDC"/>
  <w16cid:commentId w16cid:paraId="753CEE4B" w16cid:durableId="22962CDD"/>
  <w16cid:commentId w16cid:paraId="3132A7D7" w16cid:durableId="229739E8"/>
  <w16cid:commentId w16cid:paraId="213852A2" w16cid:durableId="22962CDE"/>
  <w16cid:commentId w16cid:paraId="08C6E334" w16cid:durableId="22962CDF"/>
  <w16cid:commentId w16cid:paraId="7D25F0CE" w16cid:durableId="22973F1C"/>
  <w16cid:commentId w16cid:paraId="20EB3DD0" w16cid:durableId="22962CE0"/>
  <w16cid:commentId w16cid:paraId="0A09FD4D" w16cid:durableId="22962CE1"/>
  <w16cid:commentId w16cid:paraId="706254CE" w16cid:durableId="22962C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3B47" w14:textId="77777777" w:rsidR="00BC1EA1" w:rsidRDefault="00BC1EA1" w:rsidP="00FE7764">
      <w:r>
        <w:separator/>
      </w:r>
    </w:p>
  </w:endnote>
  <w:endnote w:type="continuationSeparator" w:id="0">
    <w:p w14:paraId="5BF5CB27" w14:textId="77777777" w:rsidR="00BC1EA1" w:rsidRDefault="00BC1EA1" w:rsidP="00FE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mbria"/>
    <w:panose1 w:val="00000000000000000000"/>
    <w:charset w:val="4D"/>
    <w:family w:val="swiss"/>
    <w:notTrueType/>
    <w:pitch w:val="variable"/>
    <w:sig w:usb0="00000003" w:usb1="00000000" w:usb2="00000000" w:usb3="00000000" w:csb0="00000001" w:csb1="00000000"/>
  </w:font>
  <w:font w:name="Open Sans Light">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Arial"/>
    <w:charset w:val="B1"/>
    <w:family w:val="swiss"/>
    <w:pitch w:val="variable"/>
    <w:sig w:usb0="80000A67" w:usb1="00000000" w:usb2="00000000" w:usb3="00000000" w:csb0="000001F7" w:csb1="00000000"/>
  </w:font>
  <w:font w:name="Gill Sans SemiBold">
    <w:altName w:val="Calibri"/>
    <w:charset w:val="00"/>
    <w:family w:val="swiss"/>
    <w:pitch w:val="variable"/>
    <w:sig w:usb0="8000026F" w:usb1="5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E283" w14:textId="77777777" w:rsidR="00B9343C" w:rsidRDefault="00B934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103C" w14:textId="3AC7EC88" w:rsidR="00BC1EA1" w:rsidRDefault="00BC1EA1" w:rsidP="00DF152D">
    <w:pPr>
      <w:pStyle w:val="Fuzeile"/>
    </w:pPr>
    <w:r w:rsidRPr="00483B6E">
      <w:rPr>
        <w:noProof/>
        <w:lang w:val="de-DE" w:eastAsia="de-DE"/>
      </w:rPr>
      <mc:AlternateContent>
        <mc:Choice Requires="wps">
          <w:drawing>
            <wp:anchor distT="0" distB="0" distL="114300" distR="114300" simplePos="0" relativeHeight="251654656" behindDoc="0" locked="0" layoutInCell="1" allowOverlap="1" wp14:anchorId="26CED20D" wp14:editId="754AFC45">
              <wp:simplePos x="0" y="0"/>
              <wp:positionH relativeFrom="column">
                <wp:posOffset>6063615</wp:posOffset>
              </wp:positionH>
              <wp:positionV relativeFrom="paragraph">
                <wp:posOffset>-46990</wp:posOffset>
              </wp:positionV>
              <wp:extent cx="203835" cy="203835"/>
              <wp:effectExtent l="0" t="0" r="5715" b="5715"/>
              <wp:wrapNone/>
              <wp:docPr id="11" name="Oval 9"/>
              <wp:cNvGraphicFramePr/>
              <a:graphic xmlns:a="http://schemas.openxmlformats.org/drawingml/2006/main">
                <a:graphicData uri="http://schemas.microsoft.com/office/word/2010/wordprocessingShape">
                  <wps:wsp>
                    <wps:cNvSpPr/>
                    <wps:spPr>
                      <a:xfrm>
                        <a:off x="0" y="0"/>
                        <a:ext cx="203835" cy="203835"/>
                      </a:xfrm>
                      <a:prstGeom prst="ellipse">
                        <a:avLst/>
                      </a:prstGeom>
                      <a:solidFill>
                        <a:srgbClr val="FAAF1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9DEB02B" id="Oval 9" o:spid="_x0000_s1026" style="position:absolute;margin-left:477.45pt;margin-top:-3.7pt;width:16.05pt;height:16.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" fillcolor="#faaf14" stroked="f" strokeweight="2pt"/>
          </w:pict>
        </mc:Fallback>
      </mc:AlternateContent>
    </w:r>
    <w:r w:rsidRPr="00483B6E">
      <w:rPr>
        <w:noProof/>
        <w:lang w:val="de-DE" w:eastAsia="de-DE"/>
      </w:rPr>
      <mc:AlternateContent>
        <mc:Choice Requires="wps">
          <w:drawing>
            <wp:anchor distT="0" distB="0" distL="114300" distR="114300" simplePos="0" relativeHeight="251652608" behindDoc="0" locked="0" layoutInCell="1" allowOverlap="1" wp14:anchorId="35F7B5C9" wp14:editId="4671F712">
              <wp:simplePos x="0" y="0"/>
              <wp:positionH relativeFrom="column">
                <wp:posOffset>3371850</wp:posOffset>
              </wp:positionH>
              <wp:positionV relativeFrom="paragraph">
                <wp:posOffset>55880</wp:posOffset>
              </wp:positionV>
              <wp:extent cx="2807970" cy="0"/>
              <wp:effectExtent l="0" t="19050" r="49530" b="38100"/>
              <wp:wrapNone/>
              <wp:docPr id="8" name="Straight Connector 7">
                <a:extLst xmlns:a="http://schemas.openxmlformats.org/drawingml/2006/main">
                  <a:ext uri="{FF2B5EF4-FFF2-40B4-BE49-F238E27FC236}">
                    <a16:creationId xmlns:a16="http://schemas.microsoft.com/office/drawing/2014/main" id="{EF003F5F-AC53-8B4D-A020-ED1F38D228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7970" cy="0"/>
                      </a:xfrm>
                      <a:prstGeom prst="line">
                        <a:avLst/>
                      </a:prstGeom>
                      <a:ln w="50800">
                        <a:solidFill>
                          <a:srgbClr val="96C3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20DBA6" id="Straight Connector 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4.4pt" to="486.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" strokecolor="#96c3b4" strokeweight="4pt">
              <o:lock v:ext="edit" shapetype="f"/>
            </v:line>
          </w:pict>
        </mc:Fallback>
      </mc:AlternateContent>
    </w:r>
    <w:sdt>
      <w:sdtPr>
        <w:id w:val="342360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0E11">
          <w:rPr>
            <w:noProof/>
          </w:rPr>
          <w:t>6</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F18E" w14:textId="77777777" w:rsidR="00B9343C" w:rsidRDefault="00B934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0C08" w14:textId="77777777" w:rsidR="00BC1EA1" w:rsidRDefault="00BC1EA1" w:rsidP="00FE7764">
      <w:r>
        <w:separator/>
      </w:r>
    </w:p>
  </w:footnote>
  <w:footnote w:type="continuationSeparator" w:id="0">
    <w:p w14:paraId="7FA56482" w14:textId="77777777" w:rsidR="00BC1EA1" w:rsidRDefault="00BC1EA1" w:rsidP="00FE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06A0" w14:textId="77777777" w:rsidR="00B9343C" w:rsidRDefault="00B934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DBBE" w14:textId="61603DD1" w:rsidR="00BC1EA1" w:rsidRPr="001A1305" w:rsidRDefault="00BC1EA1" w:rsidP="00CE38EB">
    <w:pPr>
      <w:pStyle w:val="Fuzeile"/>
      <w:tabs>
        <w:tab w:val="center" w:pos="-4820"/>
        <w:tab w:val="left" w:pos="1343"/>
        <w:tab w:val="right" w:pos="9639"/>
      </w:tabs>
      <w:rPr>
        <w:rStyle w:val="Hervorhebung"/>
        <w:i w:val="0"/>
      </w:rPr>
    </w:pPr>
    <w:r w:rsidRPr="00B9343C">
      <w:rPr>
        <w:rFonts w:asciiTheme="majorHAnsi" w:hAnsiTheme="majorHAnsi"/>
        <w:noProof/>
        <w:lang w:val="de-DE" w:eastAsia="de-DE"/>
      </w:rPr>
      <w:drawing>
        <wp:anchor distT="0" distB="0" distL="114300" distR="114300" simplePos="0" relativeHeight="251681792" behindDoc="0" locked="0" layoutInCell="1" allowOverlap="1" wp14:anchorId="2FD739CA" wp14:editId="6EAEF014">
          <wp:simplePos x="0" y="0"/>
          <wp:positionH relativeFrom="margin">
            <wp:posOffset>4678680</wp:posOffset>
          </wp:positionH>
          <wp:positionV relativeFrom="paragraph">
            <wp:posOffset>-222250</wp:posOffset>
          </wp:positionV>
          <wp:extent cx="1424305" cy="739775"/>
          <wp:effectExtent l="0" t="0" r="4445" b="3175"/>
          <wp:wrapSquare wrapText="bothSides"/>
          <wp:docPr id="10" name="Picture 10" descr="A picture containing clip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ONBILL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739775"/>
                  </a:xfrm>
                  <a:prstGeom prst="rect">
                    <a:avLst/>
                  </a:prstGeom>
                </pic:spPr>
              </pic:pic>
            </a:graphicData>
          </a:graphic>
          <wp14:sizeRelH relativeFrom="margin">
            <wp14:pctWidth>0</wp14:pctWidth>
          </wp14:sizeRelH>
          <wp14:sizeRelV relativeFrom="margin">
            <wp14:pctHeight>0</wp14:pctHeight>
          </wp14:sizeRelV>
        </wp:anchor>
      </w:drawing>
    </w:r>
  </w:p>
  <w:p w14:paraId="5069AF37" w14:textId="77777777" w:rsidR="00BC1EA1" w:rsidRDefault="00BC1EA1" w:rsidP="00CE38EB">
    <w:pPr>
      <w:pStyle w:val="Fuzeile"/>
      <w:tabs>
        <w:tab w:val="center" w:pos="-4820"/>
        <w:tab w:val="left" w:pos="1343"/>
        <w:tab w:val="right" w:pos="9639"/>
      </w:tabs>
      <w:rPr>
        <w:rStyle w:val="Hervorhebung"/>
      </w:rPr>
    </w:pPr>
  </w:p>
  <w:p w14:paraId="0AE0F231" w14:textId="39259B7F" w:rsidR="00BC1EA1" w:rsidRPr="006C6B3E" w:rsidRDefault="00BC1EA1" w:rsidP="00CE38EB">
    <w:pPr>
      <w:pStyle w:val="Fuzeile"/>
      <w:tabs>
        <w:tab w:val="center" w:pos="-4820"/>
        <w:tab w:val="left" w:pos="1343"/>
        <w:tab w:val="right" w:pos="9639"/>
      </w:tabs>
      <w:rPr>
        <w:rFonts w:ascii="Gill Sans Light" w:hAnsi="Gill Sans Light" w:cs="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B1FE" w14:textId="77777777" w:rsidR="00B9343C" w:rsidRDefault="00B934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66C"/>
    <w:multiLevelType w:val="hybridMultilevel"/>
    <w:tmpl w:val="E7CC3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8775B"/>
    <w:multiLevelType w:val="hybridMultilevel"/>
    <w:tmpl w:val="5526E7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FF3EF6"/>
    <w:multiLevelType w:val="hybridMultilevel"/>
    <w:tmpl w:val="B4BAFA64"/>
    <w:lvl w:ilvl="0" w:tplc="6A4C5136">
      <w:start w:val="1"/>
      <w:numFmt w:val="decimal"/>
      <w:lvlText w:val="(%1)"/>
      <w:lvlJc w:val="left"/>
      <w:pPr>
        <w:ind w:left="720" w:hanging="360"/>
      </w:pPr>
      <w:rPr>
        <w:rFonts w:ascii="ITC Avant Garde Std Bk" w:eastAsiaTheme="minorHAnsi" w:hAnsi="ITC Avant Garde Std Bk" w:cs="Open Sans Ligh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ED4B71"/>
    <w:multiLevelType w:val="hybridMultilevel"/>
    <w:tmpl w:val="0F72E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295D12"/>
    <w:multiLevelType w:val="hybridMultilevel"/>
    <w:tmpl w:val="A8D4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A21B0"/>
    <w:multiLevelType w:val="hybridMultilevel"/>
    <w:tmpl w:val="1BB07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9D2567"/>
    <w:multiLevelType w:val="hybridMultilevel"/>
    <w:tmpl w:val="4F8407C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D53524"/>
    <w:multiLevelType w:val="hybridMultilevel"/>
    <w:tmpl w:val="6CA08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C528BF"/>
    <w:multiLevelType w:val="hybridMultilevel"/>
    <w:tmpl w:val="9C38B08E"/>
    <w:lvl w:ilvl="0" w:tplc="C5CC959C">
      <w:start w:val="1"/>
      <w:numFmt w:val="bullet"/>
      <w:pStyle w:val="Listenabsatz"/>
      <w:lvlText w:val=""/>
      <w:lvlJc w:val="left"/>
      <w:pPr>
        <w:ind w:left="720" w:hanging="360"/>
      </w:pPr>
      <w:rPr>
        <w:rFonts w:ascii="Symbol" w:hAnsi="Symbol" w:hint="default"/>
        <w:color w:val="FAAF14" w:themeColor="accent3"/>
      </w:rPr>
    </w:lvl>
    <w:lvl w:ilvl="1" w:tplc="CA665E90">
      <w:start w:val="1"/>
      <w:numFmt w:val="bullet"/>
      <w:pStyle w:val="Bulletpointslevel2"/>
      <w:lvlText w:val=""/>
      <w:lvlJc w:val="left"/>
      <w:pPr>
        <w:ind w:left="1440" w:hanging="360"/>
      </w:pPr>
      <w:rPr>
        <w:rFonts w:ascii="Symbol" w:hAnsi="Symbol" w:hint="default"/>
        <w:b/>
        <w:i w:val="0"/>
        <w:color w:val="BD4475" w:themeColor="accent4"/>
      </w:rPr>
    </w:lvl>
    <w:lvl w:ilvl="2" w:tplc="8786B5D0">
      <w:start w:val="1"/>
      <w:numFmt w:val="bullet"/>
      <w:pStyle w:val="bulletpoints-level3"/>
      <w:lvlText w:val=""/>
      <w:lvlJc w:val="left"/>
      <w:pPr>
        <w:ind w:left="2160" w:hanging="360"/>
      </w:pPr>
      <w:rPr>
        <w:rFonts w:ascii="Wingdings" w:hAnsi="Wingdings" w:hint="default"/>
        <w:color w:val="009187"/>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D3059"/>
    <w:multiLevelType w:val="hybridMultilevel"/>
    <w:tmpl w:val="6F266A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081C91"/>
    <w:multiLevelType w:val="hybridMultilevel"/>
    <w:tmpl w:val="AF18BED4"/>
    <w:lvl w:ilvl="0" w:tplc="6B421F68">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361B56"/>
    <w:multiLevelType w:val="hybridMultilevel"/>
    <w:tmpl w:val="A48AA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E83CA3"/>
    <w:multiLevelType w:val="hybridMultilevel"/>
    <w:tmpl w:val="95F8EAF4"/>
    <w:lvl w:ilvl="0" w:tplc="DA14B300">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5B47F1C"/>
    <w:multiLevelType w:val="hybridMultilevel"/>
    <w:tmpl w:val="3650ED1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84E538F"/>
    <w:multiLevelType w:val="multilevel"/>
    <w:tmpl w:val="9EB4FFBA"/>
    <w:lvl w:ilvl="0">
      <w:start w:val="1"/>
      <w:numFmt w:val="decimal"/>
      <w:lvlText w:val="%1"/>
      <w:lvlJc w:val="left"/>
      <w:pPr>
        <w:ind w:left="360" w:hanging="36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0" w:firstLine="0"/>
      </w:pPr>
      <w:rPr>
        <w:rFonts w:ascii="Arial" w:hAnsi="Arial" w:cs="Arial" w:hint="default"/>
        <w:color w:val="9B0014"/>
      </w:rPr>
    </w:lvl>
    <w:lvl w:ilvl="4">
      <w:start w:val="1"/>
      <w:numFmt w:val="decimal"/>
      <w:lvlText w:val="%1.%2.%3.%4.%5"/>
      <w:lvlJc w:val="left"/>
      <w:pPr>
        <w:tabs>
          <w:tab w:val="num" w:pos="1576"/>
        </w:tabs>
        <w:ind w:left="568"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435AFC"/>
    <w:multiLevelType w:val="hybridMultilevel"/>
    <w:tmpl w:val="9174B3F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D75C56"/>
    <w:multiLevelType w:val="hybridMultilevel"/>
    <w:tmpl w:val="095673C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16F08E5"/>
    <w:multiLevelType w:val="hybridMultilevel"/>
    <w:tmpl w:val="C1F454D8"/>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D034243"/>
    <w:multiLevelType w:val="hybridMultilevel"/>
    <w:tmpl w:val="92BCB28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D8C37B4"/>
    <w:multiLevelType w:val="hybridMultilevel"/>
    <w:tmpl w:val="098A4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2D7A15"/>
    <w:multiLevelType w:val="hybridMultilevel"/>
    <w:tmpl w:val="742411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764F9C"/>
    <w:multiLevelType w:val="hybridMultilevel"/>
    <w:tmpl w:val="9208A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66244"/>
    <w:multiLevelType w:val="hybridMultilevel"/>
    <w:tmpl w:val="3F8C3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0B1AD7"/>
    <w:multiLevelType w:val="hybridMultilevel"/>
    <w:tmpl w:val="FA52A5C6"/>
    <w:lvl w:ilvl="0" w:tplc="F3940344">
      <w:numFmt w:val="bullet"/>
      <w:lvlText w:val="-"/>
      <w:lvlJc w:val="left"/>
      <w:pPr>
        <w:ind w:left="720" w:hanging="360"/>
      </w:pPr>
      <w:rPr>
        <w:rFonts w:ascii="ITC Avant Garde Std Bk" w:eastAsiaTheme="minorHAnsi" w:hAnsi="ITC Avant Garde Std Bk"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E40055"/>
    <w:multiLevelType w:val="hybridMultilevel"/>
    <w:tmpl w:val="D766EF6E"/>
    <w:lvl w:ilvl="0" w:tplc="1870FE68">
      <w:start w:val="1"/>
      <w:numFmt w:val="lowerLetter"/>
      <w:lvlText w:val="%1)"/>
      <w:lvlJc w:val="left"/>
      <w:pPr>
        <w:ind w:left="720" w:hanging="360"/>
      </w:pPr>
      <w:rPr>
        <w:rFonts w:ascii="ITC Avant Garde Std Bk" w:eastAsiaTheme="minorHAnsi" w:hAnsi="ITC Avant Garde Std Bk" w:cs="Open Sans Ligh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3203E8"/>
    <w:multiLevelType w:val="hybridMultilevel"/>
    <w:tmpl w:val="25B0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5B10FB"/>
    <w:multiLevelType w:val="hybridMultilevel"/>
    <w:tmpl w:val="BAC835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10C09"/>
    <w:multiLevelType w:val="hybridMultilevel"/>
    <w:tmpl w:val="B5841746"/>
    <w:lvl w:ilvl="0" w:tplc="6B421F6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73B13FF"/>
    <w:multiLevelType w:val="hybridMultilevel"/>
    <w:tmpl w:val="54EEA688"/>
    <w:lvl w:ilvl="0" w:tplc="A1223348">
      <w:numFmt w:val="bullet"/>
      <w:lvlText w:val=""/>
      <w:lvlJc w:val="left"/>
      <w:pPr>
        <w:ind w:left="720" w:hanging="360"/>
      </w:pPr>
      <w:rPr>
        <w:rFonts w:ascii="Wingdings" w:eastAsiaTheme="minorHAnsi" w:hAnsi="Wingdings"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B823C4"/>
    <w:multiLevelType w:val="hybridMultilevel"/>
    <w:tmpl w:val="4338221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21E1B"/>
    <w:multiLevelType w:val="hybridMultilevel"/>
    <w:tmpl w:val="38B4D3F6"/>
    <w:lvl w:ilvl="0" w:tplc="6B421F6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D7919A7"/>
    <w:multiLevelType w:val="multilevel"/>
    <w:tmpl w:val="23DE5420"/>
    <w:lvl w:ilvl="0">
      <w:start w:val="1"/>
      <w:numFmt w:val="decimal"/>
      <w:pStyle w:val="berschrift1"/>
      <w:lvlText w:val="%1"/>
      <w:lvlJc w:val="left"/>
      <w:pPr>
        <w:ind w:left="702" w:hanging="432"/>
      </w:pPr>
    </w:lvl>
    <w:lvl w:ilvl="1">
      <w:start w:val="1"/>
      <w:numFmt w:val="decimal"/>
      <w:pStyle w:val="berschrift2"/>
      <w:lvlText w:val="%1.%2"/>
      <w:lvlJc w:val="left"/>
      <w:pPr>
        <w:ind w:left="846" w:hanging="576"/>
      </w:pPr>
    </w:lvl>
    <w:lvl w:ilvl="2">
      <w:start w:val="1"/>
      <w:numFmt w:val="decimal"/>
      <w:lvlText w:val="%1.%2.%3"/>
      <w:lvlJc w:val="left"/>
      <w:pPr>
        <w:ind w:left="990" w:hanging="720"/>
      </w:pPr>
    </w:lvl>
    <w:lvl w:ilvl="3">
      <w:start w:val="1"/>
      <w:numFmt w:val="decimal"/>
      <w:lvlText w:val="%1.%2.%3.%4"/>
      <w:lvlJc w:val="left"/>
      <w:pPr>
        <w:ind w:left="1134" w:hanging="864"/>
      </w:pPr>
    </w:lvl>
    <w:lvl w:ilvl="4">
      <w:start w:val="1"/>
      <w:numFmt w:val="decimal"/>
      <w:lvlText w:val="%1.%2.%3.%4.%5"/>
      <w:lvlJc w:val="left"/>
      <w:pPr>
        <w:ind w:left="1278" w:hanging="1008"/>
      </w:pPr>
    </w:lvl>
    <w:lvl w:ilvl="5">
      <w:start w:val="1"/>
      <w:numFmt w:val="decimal"/>
      <w:pStyle w:val="berschrift6"/>
      <w:lvlText w:val="%1.%2.%3.%4.%5.%6"/>
      <w:lvlJc w:val="left"/>
      <w:pPr>
        <w:ind w:left="1422" w:hanging="1152"/>
      </w:pPr>
    </w:lvl>
    <w:lvl w:ilvl="6">
      <w:start w:val="1"/>
      <w:numFmt w:val="decimal"/>
      <w:pStyle w:val="berschrift7"/>
      <w:lvlText w:val="%1.%2.%3.%4.%5.%6.%7"/>
      <w:lvlJc w:val="left"/>
      <w:pPr>
        <w:ind w:left="1566" w:hanging="1296"/>
      </w:pPr>
    </w:lvl>
    <w:lvl w:ilvl="7">
      <w:start w:val="1"/>
      <w:numFmt w:val="decimal"/>
      <w:pStyle w:val="berschrift8"/>
      <w:lvlText w:val="%1.%2.%3.%4.%5.%6.%7.%8"/>
      <w:lvlJc w:val="left"/>
      <w:pPr>
        <w:ind w:left="1710" w:hanging="1440"/>
      </w:pPr>
    </w:lvl>
    <w:lvl w:ilvl="8">
      <w:start w:val="1"/>
      <w:numFmt w:val="decimal"/>
      <w:pStyle w:val="berschrift9"/>
      <w:lvlText w:val="%1.%2.%3.%4.%5.%6.%7.%8.%9"/>
      <w:lvlJc w:val="left"/>
      <w:pPr>
        <w:ind w:left="1854" w:hanging="1584"/>
      </w:pPr>
    </w:lvl>
  </w:abstractNum>
  <w:abstractNum w:abstractNumId="32" w15:restartNumberingAfterBreak="0">
    <w:nsid w:val="6E22616A"/>
    <w:multiLevelType w:val="hybridMultilevel"/>
    <w:tmpl w:val="9E18A6F8"/>
    <w:lvl w:ilvl="0" w:tplc="403CC9C2">
      <w:numFmt w:val="bullet"/>
      <w:lvlText w:val="-"/>
      <w:lvlJc w:val="left"/>
      <w:pPr>
        <w:ind w:left="720" w:hanging="360"/>
      </w:pPr>
      <w:rPr>
        <w:rFonts w:ascii="ITC Avant Garde Std Bk" w:eastAsiaTheme="minorHAnsi" w:hAnsi="ITC Avant Garde Std Bk"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4E7614"/>
    <w:multiLevelType w:val="hybridMultilevel"/>
    <w:tmpl w:val="599AD2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3876A4"/>
    <w:multiLevelType w:val="hybridMultilevel"/>
    <w:tmpl w:val="0F92BA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B839CB"/>
    <w:multiLevelType w:val="hybridMultilevel"/>
    <w:tmpl w:val="BE122E86"/>
    <w:lvl w:ilvl="0" w:tplc="6B421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345D11"/>
    <w:multiLevelType w:val="hybridMultilevel"/>
    <w:tmpl w:val="5418B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DE221E"/>
    <w:multiLevelType w:val="hybridMultilevel"/>
    <w:tmpl w:val="0032F58C"/>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E414C3C"/>
    <w:multiLevelType w:val="hybridMultilevel"/>
    <w:tmpl w:val="E19812BC"/>
    <w:lvl w:ilvl="0" w:tplc="F58A53FE">
      <w:start w:val="1"/>
      <w:numFmt w:val="bullet"/>
      <w:pStyle w:val="Aufzhlungrot"/>
      <w:lvlText w:val=""/>
      <w:lvlJc w:val="left"/>
      <w:pPr>
        <w:tabs>
          <w:tab w:val="num" w:pos="227"/>
        </w:tabs>
        <w:ind w:left="227" w:hanging="227"/>
      </w:pPr>
      <w:rPr>
        <w:rFonts w:ascii="Symbol" w:hAnsi="Symbol" w:hint="default"/>
        <w:color w:val="9B0014"/>
      </w:rPr>
    </w:lvl>
    <w:lvl w:ilvl="1" w:tplc="F626AD70">
      <w:start w:val="1"/>
      <w:numFmt w:val="bullet"/>
      <w:lvlText w:val="o"/>
      <w:lvlJc w:val="left"/>
      <w:pPr>
        <w:tabs>
          <w:tab w:val="num" w:pos="1353"/>
        </w:tabs>
        <w:ind w:left="1353" w:hanging="360"/>
      </w:pPr>
      <w:rPr>
        <w:rFonts w:ascii="Courier New" w:hAnsi="Courier New" w:cs="Courier New" w:hint="default"/>
        <w:color w:val="960014"/>
      </w:rPr>
    </w:lvl>
    <w:lvl w:ilvl="2" w:tplc="84424A80">
      <w:start w:val="1"/>
      <w:numFmt w:val="bullet"/>
      <w:lvlText w:val=""/>
      <w:lvlJc w:val="left"/>
      <w:pPr>
        <w:tabs>
          <w:tab w:val="num" w:pos="2160"/>
        </w:tabs>
        <w:ind w:left="2160" w:hanging="360"/>
      </w:pPr>
      <w:rPr>
        <w:rFonts w:ascii="Wingdings" w:hAnsi="Wingdings" w:hint="default"/>
        <w:color w:val="960014"/>
      </w:rPr>
    </w:lvl>
    <w:lvl w:ilvl="3" w:tplc="495EF328">
      <w:start w:val="1"/>
      <w:numFmt w:val="bullet"/>
      <w:lvlText w:val=""/>
      <w:lvlJc w:val="left"/>
      <w:pPr>
        <w:tabs>
          <w:tab w:val="num" w:pos="2880"/>
        </w:tabs>
        <w:ind w:left="2880" w:hanging="360"/>
      </w:pPr>
      <w:rPr>
        <w:rFonts w:ascii="Symbol" w:hAnsi="Symbol" w:hint="default"/>
        <w:color w:val="960014"/>
      </w:rPr>
    </w:lvl>
    <w:lvl w:ilvl="4" w:tplc="4B6CD456">
      <w:start w:val="1"/>
      <w:numFmt w:val="bullet"/>
      <w:lvlText w:val="o"/>
      <w:lvlJc w:val="left"/>
      <w:pPr>
        <w:tabs>
          <w:tab w:val="num" w:pos="3600"/>
        </w:tabs>
        <w:ind w:left="3600" w:hanging="360"/>
      </w:pPr>
      <w:rPr>
        <w:rFonts w:ascii="Courier New" w:hAnsi="Courier New" w:cs="Courier New" w:hint="default"/>
        <w:color w:val="960014"/>
      </w:rPr>
    </w:lvl>
    <w:lvl w:ilvl="5" w:tplc="A29A8CBE">
      <w:start w:val="1"/>
      <w:numFmt w:val="bullet"/>
      <w:lvlText w:val=""/>
      <w:lvlJc w:val="left"/>
      <w:pPr>
        <w:tabs>
          <w:tab w:val="num" w:pos="4320"/>
        </w:tabs>
        <w:ind w:left="4320" w:hanging="360"/>
      </w:pPr>
      <w:rPr>
        <w:rFonts w:ascii="Wingdings" w:hAnsi="Wingdings" w:hint="default"/>
        <w:color w:val="960014"/>
      </w:rPr>
    </w:lvl>
    <w:lvl w:ilvl="6" w:tplc="8B42DF0C">
      <w:start w:val="1"/>
      <w:numFmt w:val="bullet"/>
      <w:lvlText w:val=""/>
      <w:lvlJc w:val="left"/>
      <w:pPr>
        <w:tabs>
          <w:tab w:val="num" w:pos="5040"/>
        </w:tabs>
        <w:ind w:left="5040" w:hanging="360"/>
      </w:pPr>
      <w:rPr>
        <w:rFonts w:ascii="Symbol" w:hAnsi="Symbol" w:hint="default"/>
        <w:color w:val="960014"/>
      </w:rPr>
    </w:lvl>
    <w:lvl w:ilvl="7" w:tplc="27A2CE80">
      <w:start w:val="1"/>
      <w:numFmt w:val="bullet"/>
      <w:lvlText w:val="o"/>
      <w:lvlJc w:val="left"/>
      <w:pPr>
        <w:tabs>
          <w:tab w:val="num" w:pos="5760"/>
        </w:tabs>
        <w:ind w:left="5760" w:hanging="360"/>
      </w:pPr>
      <w:rPr>
        <w:rFonts w:ascii="Courier New" w:hAnsi="Courier New" w:cs="Courier New" w:hint="default"/>
        <w:color w:val="960014"/>
      </w:rPr>
    </w:lvl>
    <w:lvl w:ilvl="8" w:tplc="064271A2">
      <w:start w:val="1"/>
      <w:numFmt w:val="bullet"/>
      <w:lvlText w:val=""/>
      <w:lvlJc w:val="left"/>
      <w:pPr>
        <w:tabs>
          <w:tab w:val="num" w:pos="6480"/>
        </w:tabs>
        <w:ind w:left="6480" w:hanging="360"/>
      </w:pPr>
      <w:rPr>
        <w:rFonts w:ascii="Wingdings" w:hAnsi="Wingdings" w:hint="default"/>
        <w:color w:val="960014"/>
      </w:rPr>
    </w:lvl>
  </w:abstractNum>
  <w:num w:numId="1">
    <w:abstractNumId w:val="8"/>
  </w:num>
  <w:num w:numId="2">
    <w:abstractNumId w:val="31"/>
  </w:num>
  <w:num w:numId="3">
    <w:abstractNumId w:val="2"/>
  </w:num>
  <w:num w:numId="4">
    <w:abstractNumId w:val="6"/>
  </w:num>
  <w:num w:numId="5">
    <w:abstractNumId w:val="5"/>
  </w:num>
  <w:num w:numId="6">
    <w:abstractNumId w:val="22"/>
  </w:num>
  <w:num w:numId="7">
    <w:abstractNumId w:val="35"/>
  </w:num>
  <w:num w:numId="8">
    <w:abstractNumId w:val="10"/>
  </w:num>
  <w:num w:numId="9">
    <w:abstractNumId w:val="11"/>
  </w:num>
  <w:num w:numId="10">
    <w:abstractNumId w:val="21"/>
  </w:num>
  <w:num w:numId="11">
    <w:abstractNumId w:val="4"/>
  </w:num>
  <w:num w:numId="12">
    <w:abstractNumId w:val="19"/>
  </w:num>
  <w:num w:numId="13">
    <w:abstractNumId w:val="7"/>
  </w:num>
  <w:num w:numId="14">
    <w:abstractNumId w:val="23"/>
  </w:num>
  <w:num w:numId="15">
    <w:abstractNumId w:val="32"/>
  </w:num>
  <w:num w:numId="16">
    <w:abstractNumId w:val="24"/>
  </w:num>
  <w:num w:numId="17">
    <w:abstractNumId w:val="36"/>
  </w:num>
  <w:num w:numId="18">
    <w:abstractNumId w:val="0"/>
  </w:num>
  <w:num w:numId="19">
    <w:abstractNumId w:val="28"/>
  </w:num>
  <w:num w:numId="20">
    <w:abstractNumId w:val="17"/>
  </w:num>
  <w:num w:numId="21">
    <w:abstractNumId w:val="37"/>
  </w:num>
  <w:num w:numId="22">
    <w:abstractNumId w:val="15"/>
  </w:num>
  <w:num w:numId="23">
    <w:abstractNumId w:val="1"/>
  </w:num>
  <w:num w:numId="24">
    <w:abstractNumId w:val="38"/>
  </w:num>
  <w:num w:numId="25">
    <w:abstractNumId w:val="34"/>
  </w:num>
  <w:num w:numId="26">
    <w:abstractNumId w:val="12"/>
  </w:num>
  <w:num w:numId="27">
    <w:abstractNumId w:val="14"/>
  </w:num>
  <w:num w:numId="28">
    <w:abstractNumId w:val="27"/>
  </w:num>
  <w:num w:numId="29">
    <w:abstractNumId w:val="30"/>
  </w:num>
  <w:num w:numId="30">
    <w:abstractNumId w:val="25"/>
  </w:num>
  <w:num w:numId="31">
    <w:abstractNumId w:val="9"/>
  </w:num>
  <w:num w:numId="32">
    <w:abstractNumId w:val="13"/>
  </w:num>
  <w:num w:numId="33">
    <w:abstractNumId w:val="16"/>
  </w:num>
  <w:num w:numId="34">
    <w:abstractNumId w:val="29"/>
  </w:num>
  <w:num w:numId="35">
    <w:abstractNumId w:val="33"/>
  </w:num>
  <w:num w:numId="36">
    <w:abstractNumId w:val="20"/>
  </w:num>
  <w:num w:numId="37">
    <w:abstractNumId w:val="18"/>
  </w:num>
  <w:num w:numId="38">
    <w:abstractNumId w:val="26"/>
  </w:num>
  <w:num w:numId="39">
    <w:abstractNumId w:val="31"/>
  </w:num>
  <w:num w:numId="40">
    <w:abstractNumId w:val="8"/>
  </w:num>
  <w:num w:numId="41">
    <w:abstractNumId w:val="3"/>
  </w:num>
  <w:num w:numId="42">
    <w:abstractNumId w:val="31"/>
  </w:num>
  <w:num w:numId="4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C4"/>
    <w:rsid w:val="00000037"/>
    <w:rsid w:val="0000783B"/>
    <w:rsid w:val="000147B3"/>
    <w:rsid w:val="0001671E"/>
    <w:rsid w:val="000226AA"/>
    <w:rsid w:val="00024CB0"/>
    <w:rsid w:val="000311AD"/>
    <w:rsid w:val="000326F3"/>
    <w:rsid w:val="000457AD"/>
    <w:rsid w:val="00045A83"/>
    <w:rsid w:val="00045BE2"/>
    <w:rsid w:val="000477D8"/>
    <w:rsid w:val="00052C95"/>
    <w:rsid w:val="00056B48"/>
    <w:rsid w:val="00056EA5"/>
    <w:rsid w:val="000628DB"/>
    <w:rsid w:val="00063D7C"/>
    <w:rsid w:val="0006586D"/>
    <w:rsid w:val="000701E6"/>
    <w:rsid w:val="00075A9D"/>
    <w:rsid w:val="00075B28"/>
    <w:rsid w:val="0008188B"/>
    <w:rsid w:val="0008195E"/>
    <w:rsid w:val="000824B0"/>
    <w:rsid w:val="0009116D"/>
    <w:rsid w:val="00092C14"/>
    <w:rsid w:val="00093AF7"/>
    <w:rsid w:val="00094479"/>
    <w:rsid w:val="00096B3A"/>
    <w:rsid w:val="000A0D19"/>
    <w:rsid w:val="000B1058"/>
    <w:rsid w:val="000B1C27"/>
    <w:rsid w:val="000B4209"/>
    <w:rsid w:val="000B5B9D"/>
    <w:rsid w:val="000C3D39"/>
    <w:rsid w:val="000C6C70"/>
    <w:rsid w:val="000D1C41"/>
    <w:rsid w:val="000D4356"/>
    <w:rsid w:val="000D58F0"/>
    <w:rsid w:val="000D6348"/>
    <w:rsid w:val="000D64C5"/>
    <w:rsid w:val="000E1D77"/>
    <w:rsid w:val="000E3E10"/>
    <w:rsid w:val="000E7392"/>
    <w:rsid w:val="000F02C4"/>
    <w:rsid w:val="000F1AC0"/>
    <w:rsid w:val="000F373E"/>
    <w:rsid w:val="000F62A6"/>
    <w:rsid w:val="000F7784"/>
    <w:rsid w:val="00105C7E"/>
    <w:rsid w:val="0011060A"/>
    <w:rsid w:val="00112E45"/>
    <w:rsid w:val="00113096"/>
    <w:rsid w:val="00122F4F"/>
    <w:rsid w:val="00124456"/>
    <w:rsid w:val="00126A56"/>
    <w:rsid w:val="001278F3"/>
    <w:rsid w:val="00133277"/>
    <w:rsid w:val="001339F9"/>
    <w:rsid w:val="0013538B"/>
    <w:rsid w:val="00142085"/>
    <w:rsid w:val="00142874"/>
    <w:rsid w:val="00146356"/>
    <w:rsid w:val="00146D13"/>
    <w:rsid w:val="001520F2"/>
    <w:rsid w:val="00154D00"/>
    <w:rsid w:val="00156CF4"/>
    <w:rsid w:val="00160073"/>
    <w:rsid w:val="00162E2C"/>
    <w:rsid w:val="00170EB4"/>
    <w:rsid w:val="0017240A"/>
    <w:rsid w:val="00172993"/>
    <w:rsid w:val="00176526"/>
    <w:rsid w:val="00190D0F"/>
    <w:rsid w:val="00194604"/>
    <w:rsid w:val="00197C50"/>
    <w:rsid w:val="001A0B3B"/>
    <w:rsid w:val="001A1305"/>
    <w:rsid w:val="001A38E5"/>
    <w:rsid w:val="001A59BF"/>
    <w:rsid w:val="001B33C1"/>
    <w:rsid w:val="001B3C25"/>
    <w:rsid w:val="001B4C0D"/>
    <w:rsid w:val="001B7219"/>
    <w:rsid w:val="001C0F3F"/>
    <w:rsid w:val="001C2B61"/>
    <w:rsid w:val="001C3369"/>
    <w:rsid w:val="001C4BA9"/>
    <w:rsid w:val="001E0AC2"/>
    <w:rsid w:val="001E25E3"/>
    <w:rsid w:val="001E3529"/>
    <w:rsid w:val="001F544D"/>
    <w:rsid w:val="001F5CAD"/>
    <w:rsid w:val="001F5F65"/>
    <w:rsid w:val="00200ABC"/>
    <w:rsid w:val="00210E10"/>
    <w:rsid w:val="0021269E"/>
    <w:rsid w:val="00216980"/>
    <w:rsid w:val="0021700C"/>
    <w:rsid w:val="0023251A"/>
    <w:rsid w:val="002327C9"/>
    <w:rsid w:val="00232B60"/>
    <w:rsid w:val="00234985"/>
    <w:rsid w:val="00240173"/>
    <w:rsid w:val="00245233"/>
    <w:rsid w:val="00247BBA"/>
    <w:rsid w:val="00251FB0"/>
    <w:rsid w:val="00255752"/>
    <w:rsid w:val="00261718"/>
    <w:rsid w:val="00261B7C"/>
    <w:rsid w:val="00262DC1"/>
    <w:rsid w:val="002636F6"/>
    <w:rsid w:val="00274970"/>
    <w:rsid w:val="00274CC2"/>
    <w:rsid w:val="00284C1E"/>
    <w:rsid w:val="002860EB"/>
    <w:rsid w:val="00286C8B"/>
    <w:rsid w:val="00287F7A"/>
    <w:rsid w:val="00292352"/>
    <w:rsid w:val="00292EA8"/>
    <w:rsid w:val="00296348"/>
    <w:rsid w:val="002A1B00"/>
    <w:rsid w:val="002A1B52"/>
    <w:rsid w:val="002A566F"/>
    <w:rsid w:val="002A5789"/>
    <w:rsid w:val="002A6441"/>
    <w:rsid w:val="002A75A5"/>
    <w:rsid w:val="002B025D"/>
    <w:rsid w:val="002B1075"/>
    <w:rsid w:val="002B6B15"/>
    <w:rsid w:val="002C4C97"/>
    <w:rsid w:val="002E75B1"/>
    <w:rsid w:val="002F2FBD"/>
    <w:rsid w:val="002F4D4D"/>
    <w:rsid w:val="002F58DE"/>
    <w:rsid w:val="002F7C0D"/>
    <w:rsid w:val="002F7DC8"/>
    <w:rsid w:val="003031FB"/>
    <w:rsid w:val="00304675"/>
    <w:rsid w:val="003217D9"/>
    <w:rsid w:val="00322F7E"/>
    <w:rsid w:val="00326E2E"/>
    <w:rsid w:val="00327125"/>
    <w:rsid w:val="003312B5"/>
    <w:rsid w:val="003370D6"/>
    <w:rsid w:val="00341876"/>
    <w:rsid w:val="00342EB6"/>
    <w:rsid w:val="003462CD"/>
    <w:rsid w:val="003523C5"/>
    <w:rsid w:val="003533D0"/>
    <w:rsid w:val="00356A7D"/>
    <w:rsid w:val="00356C57"/>
    <w:rsid w:val="003615A9"/>
    <w:rsid w:val="00364814"/>
    <w:rsid w:val="00365B6E"/>
    <w:rsid w:val="00371A3C"/>
    <w:rsid w:val="00375610"/>
    <w:rsid w:val="003760FB"/>
    <w:rsid w:val="00376FA1"/>
    <w:rsid w:val="00380531"/>
    <w:rsid w:val="003824AB"/>
    <w:rsid w:val="0038454A"/>
    <w:rsid w:val="00385F65"/>
    <w:rsid w:val="00386D03"/>
    <w:rsid w:val="00386D87"/>
    <w:rsid w:val="00391489"/>
    <w:rsid w:val="003919CB"/>
    <w:rsid w:val="0039668B"/>
    <w:rsid w:val="0039794B"/>
    <w:rsid w:val="003A134F"/>
    <w:rsid w:val="003A16FA"/>
    <w:rsid w:val="003A3A8D"/>
    <w:rsid w:val="003A4068"/>
    <w:rsid w:val="003A5D57"/>
    <w:rsid w:val="003B328E"/>
    <w:rsid w:val="003B425D"/>
    <w:rsid w:val="003B6F39"/>
    <w:rsid w:val="003C1213"/>
    <w:rsid w:val="003C3050"/>
    <w:rsid w:val="003C30AD"/>
    <w:rsid w:val="003C44D7"/>
    <w:rsid w:val="003C4907"/>
    <w:rsid w:val="003C4AF1"/>
    <w:rsid w:val="003C6070"/>
    <w:rsid w:val="003C7321"/>
    <w:rsid w:val="003D3E8E"/>
    <w:rsid w:val="003D62BB"/>
    <w:rsid w:val="003E234A"/>
    <w:rsid w:val="003E26D0"/>
    <w:rsid w:val="003E45E0"/>
    <w:rsid w:val="003E594A"/>
    <w:rsid w:val="003E6F74"/>
    <w:rsid w:val="003E745F"/>
    <w:rsid w:val="003E77B2"/>
    <w:rsid w:val="003F1E24"/>
    <w:rsid w:val="003F29A6"/>
    <w:rsid w:val="003F3BC8"/>
    <w:rsid w:val="003F67E6"/>
    <w:rsid w:val="00404685"/>
    <w:rsid w:val="0040573D"/>
    <w:rsid w:val="00406162"/>
    <w:rsid w:val="004109A3"/>
    <w:rsid w:val="00412378"/>
    <w:rsid w:val="00413B8D"/>
    <w:rsid w:val="00414574"/>
    <w:rsid w:val="00417B27"/>
    <w:rsid w:val="00420011"/>
    <w:rsid w:val="00420C15"/>
    <w:rsid w:val="0042113E"/>
    <w:rsid w:val="00424824"/>
    <w:rsid w:val="004259A0"/>
    <w:rsid w:val="004261D8"/>
    <w:rsid w:val="00426912"/>
    <w:rsid w:val="00427AE7"/>
    <w:rsid w:val="00432B80"/>
    <w:rsid w:val="004330C6"/>
    <w:rsid w:val="00441364"/>
    <w:rsid w:val="00451609"/>
    <w:rsid w:val="0045425C"/>
    <w:rsid w:val="004558E4"/>
    <w:rsid w:val="00462BB8"/>
    <w:rsid w:val="00463C8E"/>
    <w:rsid w:val="004641CF"/>
    <w:rsid w:val="00467675"/>
    <w:rsid w:val="00471F21"/>
    <w:rsid w:val="00473828"/>
    <w:rsid w:val="00473FA0"/>
    <w:rsid w:val="004811E7"/>
    <w:rsid w:val="00483B6E"/>
    <w:rsid w:val="00485483"/>
    <w:rsid w:val="00485892"/>
    <w:rsid w:val="0048736C"/>
    <w:rsid w:val="004873EE"/>
    <w:rsid w:val="00490F81"/>
    <w:rsid w:val="00493871"/>
    <w:rsid w:val="00493874"/>
    <w:rsid w:val="004A0B36"/>
    <w:rsid w:val="004A5B47"/>
    <w:rsid w:val="004A78F8"/>
    <w:rsid w:val="004B17C4"/>
    <w:rsid w:val="004B2C1B"/>
    <w:rsid w:val="004B2E5B"/>
    <w:rsid w:val="004B5864"/>
    <w:rsid w:val="004C14B5"/>
    <w:rsid w:val="004C19C9"/>
    <w:rsid w:val="004C4A99"/>
    <w:rsid w:val="004C7A1A"/>
    <w:rsid w:val="004D16AE"/>
    <w:rsid w:val="004D4627"/>
    <w:rsid w:val="004D59E3"/>
    <w:rsid w:val="004D6B6F"/>
    <w:rsid w:val="004D7C08"/>
    <w:rsid w:val="004E03FD"/>
    <w:rsid w:val="004E3B66"/>
    <w:rsid w:val="004E4E8D"/>
    <w:rsid w:val="004E66B9"/>
    <w:rsid w:val="004F0662"/>
    <w:rsid w:val="004F1453"/>
    <w:rsid w:val="004F265D"/>
    <w:rsid w:val="004F2C11"/>
    <w:rsid w:val="004F2F9C"/>
    <w:rsid w:val="004F7DC5"/>
    <w:rsid w:val="00502EB9"/>
    <w:rsid w:val="005069AB"/>
    <w:rsid w:val="00507CA6"/>
    <w:rsid w:val="005102EF"/>
    <w:rsid w:val="00513954"/>
    <w:rsid w:val="0051552B"/>
    <w:rsid w:val="005212B4"/>
    <w:rsid w:val="005222D3"/>
    <w:rsid w:val="005367F7"/>
    <w:rsid w:val="0053740B"/>
    <w:rsid w:val="00545B16"/>
    <w:rsid w:val="00550AC9"/>
    <w:rsid w:val="00553091"/>
    <w:rsid w:val="00560E7C"/>
    <w:rsid w:val="005613F3"/>
    <w:rsid w:val="00564268"/>
    <w:rsid w:val="005659EB"/>
    <w:rsid w:val="00567E55"/>
    <w:rsid w:val="00572E0D"/>
    <w:rsid w:val="0057671A"/>
    <w:rsid w:val="00576C08"/>
    <w:rsid w:val="00580E33"/>
    <w:rsid w:val="005820FF"/>
    <w:rsid w:val="0058280C"/>
    <w:rsid w:val="00587798"/>
    <w:rsid w:val="005928EF"/>
    <w:rsid w:val="00595D45"/>
    <w:rsid w:val="005A5087"/>
    <w:rsid w:val="005A6A07"/>
    <w:rsid w:val="005B4606"/>
    <w:rsid w:val="005B52B3"/>
    <w:rsid w:val="005B774E"/>
    <w:rsid w:val="005C7EEE"/>
    <w:rsid w:val="005D5380"/>
    <w:rsid w:val="005D583A"/>
    <w:rsid w:val="005F5220"/>
    <w:rsid w:val="005F58E4"/>
    <w:rsid w:val="006010DC"/>
    <w:rsid w:val="006035FE"/>
    <w:rsid w:val="00603CD2"/>
    <w:rsid w:val="0060404A"/>
    <w:rsid w:val="00604FF2"/>
    <w:rsid w:val="00605248"/>
    <w:rsid w:val="00606870"/>
    <w:rsid w:val="0060706C"/>
    <w:rsid w:val="00614B26"/>
    <w:rsid w:val="00616E9E"/>
    <w:rsid w:val="00620AAF"/>
    <w:rsid w:val="00621E5E"/>
    <w:rsid w:val="00624409"/>
    <w:rsid w:val="0062798D"/>
    <w:rsid w:val="0063690D"/>
    <w:rsid w:val="006372B0"/>
    <w:rsid w:val="00640CCC"/>
    <w:rsid w:val="00641180"/>
    <w:rsid w:val="006419BC"/>
    <w:rsid w:val="00646B76"/>
    <w:rsid w:val="00647322"/>
    <w:rsid w:val="00652DBA"/>
    <w:rsid w:val="00662A40"/>
    <w:rsid w:val="00667644"/>
    <w:rsid w:val="00673CE0"/>
    <w:rsid w:val="00673FE0"/>
    <w:rsid w:val="0067455E"/>
    <w:rsid w:val="0067773C"/>
    <w:rsid w:val="00677C0E"/>
    <w:rsid w:val="00681A5A"/>
    <w:rsid w:val="0068289C"/>
    <w:rsid w:val="00686505"/>
    <w:rsid w:val="00687746"/>
    <w:rsid w:val="00687BD5"/>
    <w:rsid w:val="00690873"/>
    <w:rsid w:val="006945CD"/>
    <w:rsid w:val="006A0BB1"/>
    <w:rsid w:val="006A268D"/>
    <w:rsid w:val="006A2827"/>
    <w:rsid w:val="006A29B9"/>
    <w:rsid w:val="006A2AFC"/>
    <w:rsid w:val="006A7575"/>
    <w:rsid w:val="006B53E2"/>
    <w:rsid w:val="006C01FA"/>
    <w:rsid w:val="006C183E"/>
    <w:rsid w:val="006C2519"/>
    <w:rsid w:val="006C3649"/>
    <w:rsid w:val="006C5EE7"/>
    <w:rsid w:val="006C6B3E"/>
    <w:rsid w:val="006C780C"/>
    <w:rsid w:val="006D05C4"/>
    <w:rsid w:val="006D0ADA"/>
    <w:rsid w:val="006D5992"/>
    <w:rsid w:val="006D5C37"/>
    <w:rsid w:val="006E248E"/>
    <w:rsid w:val="006E2FCF"/>
    <w:rsid w:val="006E40C4"/>
    <w:rsid w:val="006E5FDB"/>
    <w:rsid w:val="006E7182"/>
    <w:rsid w:val="006F39A9"/>
    <w:rsid w:val="006F47DF"/>
    <w:rsid w:val="007007DF"/>
    <w:rsid w:val="00703924"/>
    <w:rsid w:val="007056F5"/>
    <w:rsid w:val="0070726D"/>
    <w:rsid w:val="00712719"/>
    <w:rsid w:val="0071482F"/>
    <w:rsid w:val="007173AD"/>
    <w:rsid w:val="007216DC"/>
    <w:rsid w:val="00723495"/>
    <w:rsid w:val="007243FA"/>
    <w:rsid w:val="007245CF"/>
    <w:rsid w:val="007256DC"/>
    <w:rsid w:val="007378A7"/>
    <w:rsid w:val="00737B6C"/>
    <w:rsid w:val="007464E8"/>
    <w:rsid w:val="007511E1"/>
    <w:rsid w:val="0076439A"/>
    <w:rsid w:val="0076524B"/>
    <w:rsid w:val="00765985"/>
    <w:rsid w:val="00770D40"/>
    <w:rsid w:val="00777C27"/>
    <w:rsid w:val="0078026F"/>
    <w:rsid w:val="0078032C"/>
    <w:rsid w:val="00784D52"/>
    <w:rsid w:val="0078605E"/>
    <w:rsid w:val="0078638D"/>
    <w:rsid w:val="007940E1"/>
    <w:rsid w:val="007959A8"/>
    <w:rsid w:val="0079776C"/>
    <w:rsid w:val="007A0B16"/>
    <w:rsid w:val="007A2A49"/>
    <w:rsid w:val="007A431D"/>
    <w:rsid w:val="007B1707"/>
    <w:rsid w:val="007B35AF"/>
    <w:rsid w:val="007B48C4"/>
    <w:rsid w:val="007B78F8"/>
    <w:rsid w:val="007C011D"/>
    <w:rsid w:val="007C097F"/>
    <w:rsid w:val="007C4A27"/>
    <w:rsid w:val="007C652D"/>
    <w:rsid w:val="007C7145"/>
    <w:rsid w:val="007C7423"/>
    <w:rsid w:val="007C78B9"/>
    <w:rsid w:val="007D2DA4"/>
    <w:rsid w:val="007D7FDB"/>
    <w:rsid w:val="007E090C"/>
    <w:rsid w:val="007E5580"/>
    <w:rsid w:val="007E6B87"/>
    <w:rsid w:val="007F19DE"/>
    <w:rsid w:val="007F4D7A"/>
    <w:rsid w:val="007F5639"/>
    <w:rsid w:val="007F6E32"/>
    <w:rsid w:val="0080534E"/>
    <w:rsid w:val="0080594A"/>
    <w:rsid w:val="00806876"/>
    <w:rsid w:val="00806988"/>
    <w:rsid w:val="008125CB"/>
    <w:rsid w:val="008137C5"/>
    <w:rsid w:val="00813C4D"/>
    <w:rsid w:val="00833C0F"/>
    <w:rsid w:val="008374EE"/>
    <w:rsid w:val="00841592"/>
    <w:rsid w:val="008452B0"/>
    <w:rsid w:val="00855E20"/>
    <w:rsid w:val="00860F1D"/>
    <w:rsid w:val="00861475"/>
    <w:rsid w:val="00870208"/>
    <w:rsid w:val="00873516"/>
    <w:rsid w:val="00874AF0"/>
    <w:rsid w:val="008752CC"/>
    <w:rsid w:val="00875B76"/>
    <w:rsid w:val="00880F8B"/>
    <w:rsid w:val="00893E25"/>
    <w:rsid w:val="008A0486"/>
    <w:rsid w:val="008A122A"/>
    <w:rsid w:val="008A1752"/>
    <w:rsid w:val="008A523E"/>
    <w:rsid w:val="008A5EBC"/>
    <w:rsid w:val="008B025B"/>
    <w:rsid w:val="008B1891"/>
    <w:rsid w:val="008B2643"/>
    <w:rsid w:val="008B3123"/>
    <w:rsid w:val="008B4D43"/>
    <w:rsid w:val="008B7092"/>
    <w:rsid w:val="008B75A6"/>
    <w:rsid w:val="008C4FDE"/>
    <w:rsid w:val="008D0688"/>
    <w:rsid w:val="008E0EA5"/>
    <w:rsid w:val="008E0F4A"/>
    <w:rsid w:val="008E1B43"/>
    <w:rsid w:val="008E64F6"/>
    <w:rsid w:val="008E734A"/>
    <w:rsid w:val="008F1698"/>
    <w:rsid w:val="008F2C8F"/>
    <w:rsid w:val="008F4363"/>
    <w:rsid w:val="008F5E79"/>
    <w:rsid w:val="00901D94"/>
    <w:rsid w:val="00901FFB"/>
    <w:rsid w:val="0090254B"/>
    <w:rsid w:val="00902798"/>
    <w:rsid w:val="00903653"/>
    <w:rsid w:val="009048A2"/>
    <w:rsid w:val="009123E0"/>
    <w:rsid w:val="00914770"/>
    <w:rsid w:val="00914DF7"/>
    <w:rsid w:val="009163B2"/>
    <w:rsid w:val="0091732D"/>
    <w:rsid w:val="00924489"/>
    <w:rsid w:val="00924BF8"/>
    <w:rsid w:val="00931779"/>
    <w:rsid w:val="00933CC7"/>
    <w:rsid w:val="009360F7"/>
    <w:rsid w:val="009420CA"/>
    <w:rsid w:val="00942D5E"/>
    <w:rsid w:val="009464A2"/>
    <w:rsid w:val="0095086C"/>
    <w:rsid w:val="009515EF"/>
    <w:rsid w:val="00953CAD"/>
    <w:rsid w:val="009545B3"/>
    <w:rsid w:val="00960861"/>
    <w:rsid w:val="00960D9F"/>
    <w:rsid w:val="0096210F"/>
    <w:rsid w:val="00963582"/>
    <w:rsid w:val="00964435"/>
    <w:rsid w:val="00971DB8"/>
    <w:rsid w:val="00974445"/>
    <w:rsid w:val="00974D25"/>
    <w:rsid w:val="00975F75"/>
    <w:rsid w:val="00976917"/>
    <w:rsid w:val="00976A44"/>
    <w:rsid w:val="00977D9C"/>
    <w:rsid w:val="009917F9"/>
    <w:rsid w:val="00992D2C"/>
    <w:rsid w:val="00994291"/>
    <w:rsid w:val="00994B17"/>
    <w:rsid w:val="009967BC"/>
    <w:rsid w:val="009A2030"/>
    <w:rsid w:val="009B22B8"/>
    <w:rsid w:val="009B4AC7"/>
    <w:rsid w:val="009B4B60"/>
    <w:rsid w:val="009B5AF2"/>
    <w:rsid w:val="009B6C10"/>
    <w:rsid w:val="009C2F5B"/>
    <w:rsid w:val="009C479E"/>
    <w:rsid w:val="009C5CE7"/>
    <w:rsid w:val="009D2533"/>
    <w:rsid w:val="009D670E"/>
    <w:rsid w:val="009D72FF"/>
    <w:rsid w:val="009E6F57"/>
    <w:rsid w:val="009E72A8"/>
    <w:rsid w:val="009E767E"/>
    <w:rsid w:val="00A005EC"/>
    <w:rsid w:val="00A00E26"/>
    <w:rsid w:val="00A046D0"/>
    <w:rsid w:val="00A04E71"/>
    <w:rsid w:val="00A06609"/>
    <w:rsid w:val="00A10E27"/>
    <w:rsid w:val="00A1159F"/>
    <w:rsid w:val="00A12204"/>
    <w:rsid w:val="00A14BD4"/>
    <w:rsid w:val="00A23CE0"/>
    <w:rsid w:val="00A24148"/>
    <w:rsid w:val="00A3125F"/>
    <w:rsid w:val="00A32D0A"/>
    <w:rsid w:val="00A3323D"/>
    <w:rsid w:val="00A35728"/>
    <w:rsid w:val="00A36087"/>
    <w:rsid w:val="00A37DB6"/>
    <w:rsid w:val="00A472B4"/>
    <w:rsid w:val="00A510D4"/>
    <w:rsid w:val="00A51287"/>
    <w:rsid w:val="00A51BFA"/>
    <w:rsid w:val="00A53DA8"/>
    <w:rsid w:val="00A60D62"/>
    <w:rsid w:val="00A63AA4"/>
    <w:rsid w:val="00A64F8C"/>
    <w:rsid w:val="00A73971"/>
    <w:rsid w:val="00A7443B"/>
    <w:rsid w:val="00A74F77"/>
    <w:rsid w:val="00A754B4"/>
    <w:rsid w:val="00A7789F"/>
    <w:rsid w:val="00A83D1F"/>
    <w:rsid w:val="00A84C37"/>
    <w:rsid w:val="00A85055"/>
    <w:rsid w:val="00A90B8B"/>
    <w:rsid w:val="00A95196"/>
    <w:rsid w:val="00A95543"/>
    <w:rsid w:val="00A95711"/>
    <w:rsid w:val="00A95DF6"/>
    <w:rsid w:val="00AA3A0E"/>
    <w:rsid w:val="00AA3A74"/>
    <w:rsid w:val="00AA47B2"/>
    <w:rsid w:val="00AB3319"/>
    <w:rsid w:val="00AB6B09"/>
    <w:rsid w:val="00AC312D"/>
    <w:rsid w:val="00AC4095"/>
    <w:rsid w:val="00AC5617"/>
    <w:rsid w:val="00AC6490"/>
    <w:rsid w:val="00AC6A0A"/>
    <w:rsid w:val="00AC7E12"/>
    <w:rsid w:val="00AD0AC1"/>
    <w:rsid w:val="00AD386E"/>
    <w:rsid w:val="00AD59AB"/>
    <w:rsid w:val="00AD69FE"/>
    <w:rsid w:val="00AE7050"/>
    <w:rsid w:val="00AE7DDC"/>
    <w:rsid w:val="00AF3549"/>
    <w:rsid w:val="00AF40B6"/>
    <w:rsid w:val="00AF4D1E"/>
    <w:rsid w:val="00B008A3"/>
    <w:rsid w:val="00B00FDA"/>
    <w:rsid w:val="00B02DBC"/>
    <w:rsid w:val="00B05030"/>
    <w:rsid w:val="00B0602D"/>
    <w:rsid w:val="00B06E5C"/>
    <w:rsid w:val="00B13704"/>
    <w:rsid w:val="00B2158D"/>
    <w:rsid w:val="00B2164F"/>
    <w:rsid w:val="00B22A14"/>
    <w:rsid w:val="00B24918"/>
    <w:rsid w:val="00B307E1"/>
    <w:rsid w:val="00B3226A"/>
    <w:rsid w:val="00B35B84"/>
    <w:rsid w:val="00B446E3"/>
    <w:rsid w:val="00B515EA"/>
    <w:rsid w:val="00B51F81"/>
    <w:rsid w:val="00B62C65"/>
    <w:rsid w:val="00B6444A"/>
    <w:rsid w:val="00B70B56"/>
    <w:rsid w:val="00B76FA1"/>
    <w:rsid w:val="00B81C18"/>
    <w:rsid w:val="00B82AB8"/>
    <w:rsid w:val="00B918E1"/>
    <w:rsid w:val="00B93378"/>
    <w:rsid w:val="00B9343C"/>
    <w:rsid w:val="00B94A7E"/>
    <w:rsid w:val="00B96EA5"/>
    <w:rsid w:val="00BA0D42"/>
    <w:rsid w:val="00BA33D9"/>
    <w:rsid w:val="00BA3A69"/>
    <w:rsid w:val="00BA4391"/>
    <w:rsid w:val="00BB04E3"/>
    <w:rsid w:val="00BB4991"/>
    <w:rsid w:val="00BB516D"/>
    <w:rsid w:val="00BC042F"/>
    <w:rsid w:val="00BC1EA1"/>
    <w:rsid w:val="00BC208F"/>
    <w:rsid w:val="00BC27DD"/>
    <w:rsid w:val="00BD09B8"/>
    <w:rsid w:val="00BD1F03"/>
    <w:rsid w:val="00BD40C4"/>
    <w:rsid w:val="00BE384C"/>
    <w:rsid w:val="00BE70FF"/>
    <w:rsid w:val="00BE79B7"/>
    <w:rsid w:val="00BE7E2B"/>
    <w:rsid w:val="00BF0EBD"/>
    <w:rsid w:val="00BF1701"/>
    <w:rsid w:val="00BF28CB"/>
    <w:rsid w:val="00BF46F1"/>
    <w:rsid w:val="00BF6672"/>
    <w:rsid w:val="00BF67A8"/>
    <w:rsid w:val="00C0144E"/>
    <w:rsid w:val="00C034E8"/>
    <w:rsid w:val="00C07340"/>
    <w:rsid w:val="00C11070"/>
    <w:rsid w:val="00C166A4"/>
    <w:rsid w:val="00C21FBE"/>
    <w:rsid w:val="00C27020"/>
    <w:rsid w:val="00C30BDD"/>
    <w:rsid w:val="00C34342"/>
    <w:rsid w:val="00C349BC"/>
    <w:rsid w:val="00C35829"/>
    <w:rsid w:val="00C408C5"/>
    <w:rsid w:val="00C422E4"/>
    <w:rsid w:val="00C51DE5"/>
    <w:rsid w:val="00C54AD3"/>
    <w:rsid w:val="00C55593"/>
    <w:rsid w:val="00C57A15"/>
    <w:rsid w:val="00C60EE6"/>
    <w:rsid w:val="00C6435F"/>
    <w:rsid w:val="00C67434"/>
    <w:rsid w:val="00C674B4"/>
    <w:rsid w:val="00C67B69"/>
    <w:rsid w:val="00C67C5E"/>
    <w:rsid w:val="00C72463"/>
    <w:rsid w:val="00C746CF"/>
    <w:rsid w:val="00C814EC"/>
    <w:rsid w:val="00C815ED"/>
    <w:rsid w:val="00C81DBB"/>
    <w:rsid w:val="00C83B3E"/>
    <w:rsid w:val="00C85D1F"/>
    <w:rsid w:val="00C87787"/>
    <w:rsid w:val="00C90D77"/>
    <w:rsid w:val="00C90E2F"/>
    <w:rsid w:val="00C935DC"/>
    <w:rsid w:val="00C944CA"/>
    <w:rsid w:val="00CA17BA"/>
    <w:rsid w:val="00CA1C33"/>
    <w:rsid w:val="00CA1DDA"/>
    <w:rsid w:val="00CA50C8"/>
    <w:rsid w:val="00CB2E28"/>
    <w:rsid w:val="00CB7AF4"/>
    <w:rsid w:val="00CB7C82"/>
    <w:rsid w:val="00CB7F49"/>
    <w:rsid w:val="00CC1E36"/>
    <w:rsid w:val="00CC1FF4"/>
    <w:rsid w:val="00CC3738"/>
    <w:rsid w:val="00CC3DC5"/>
    <w:rsid w:val="00CC502F"/>
    <w:rsid w:val="00CD0DD1"/>
    <w:rsid w:val="00CD5F5D"/>
    <w:rsid w:val="00CD61F2"/>
    <w:rsid w:val="00CD6F21"/>
    <w:rsid w:val="00CE38EB"/>
    <w:rsid w:val="00CE3C63"/>
    <w:rsid w:val="00CE52E7"/>
    <w:rsid w:val="00CE685E"/>
    <w:rsid w:val="00CE77A4"/>
    <w:rsid w:val="00CF04D4"/>
    <w:rsid w:val="00CF0F06"/>
    <w:rsid w:val="00CF36D8"/>
    <w:rsid w:val="00CF5017"/>
    <w:rsid w:val="00CF6559"/>
    <w:rsid w:val="00D02781"/>
    <w:rsid w:val="00D12F61"/>
    <w:rsid w:val="00D13A95"/>
    <w:rsid w:val="00D14139"/>
    <w:rsid w:val="00D16AA8"/>
    <w:rsid w:val="00D20A55"/>
    <w:rsid w:val="00D23776"/>
    <w:rsid w:val="00D2602C"/>
    <w:rsid w:val="00D27BD4"/>
    <w:rsid w:val="00D27E60"/>
    <w:rsid w:val="00D36E4C"/>
    <w:rsid w:val="00D40FDB"/>
    <w:rsid w:val="00D41B98"/>
    <w:rsid w:val="00D431F2"/>
    <w:rsid w:val="00D45532"/>
    <w:rsid w:val="00D4652B"/>
    <w:rsid w:val="00D50A10"/>
    <w:rsid w:val="00D52A98"/>
    <w:rsid w:val="00D544EA"/>
    <w:rsid w:val="00D54A74"/>
    <w:rsid w:val="00D639C2"/>
    <w:rsid w:val="00D65568"/>
    <w:rsid w:val="00D65E14"/>
    <w:rsid w:val="00D67A75"/>
    <w:rsid w:val="00D67A8F"/>
    <w:rsid w:val="00D73B25"/>
    <w:rsid w:val="00D764C8"/>
    <w:rsid w:val="00D77ADF"/>
    <w:rsid w:val="00D8137C"/>
    <w:rsid w:val="00D828FA"/>
    <w:rsid w:val="00D90EC3"/>
    <w:rsid w:val="00D9280A"/>
    <w:rsid w:val="00D935C0"/>
    <w:rsid w:val="00D96C99"/>
    <w:rsid w:val="00D97122"/>
    <w:rsid w:val="00D97E45"/>
    <w:rsid w:val="00DA072E"/>
    <w:rsid w:val="00DA2526"/>
    <w:rsid w:val="00DB110A"/>
    <w:rsid w:val="00DB116E"/>
    <w:rsid w:val="00DC015E"/>
    <w:rsid w:val="00DC0F32"/>
    <w:rsid w:val="00DC1ADA"/>
    <w:rsid w:val="00DC24AE"/>
    <w:rsid w:val="00DC4913"/>
    <w:rsid w:val="00DC7664"/>
    <w:rsid w:val="00DC7EA1"/>
    <w:rsid w:val="00DD0E0B"/>
    <w:rsid w:val="00DD0E11"/>
    <w:rsid w:val="00DD1570"/>
    <w:rsid w:val="00DD174C"/>
    <w:rsid w:val="00DD2BB7"/>
    <w:rsid w:val="00DD33E1"/>
    <w:rsid w:val="00DE48BB"/>
    <w:rsid w:val="00DE5BEE"/>
    <w:rsid w:val="00DE6BF8"/>
    <w:rsid w:val="00DF152D"/>
    <w:rsid w:val="00DF16A1"/>
    <w:rsid w:val="00DF1CF4"/>
    <w:rsid w:val="00DF23A4"/>
    <w:rsid w:val="00DF3659"/>
    <w:rsid w:val="00DF6A92"/>
    <w:rsid w:val="00DF6F4F"/>
    <w:rsid w:val="00DF786D"/>
    <w:rsid w:val="00E00D73"/>
    <w:rsid w:val="00E0128E"/>
    <w:rsid w:val="00E02F6F"/>
    <w:rsid w:val="00E03220"/>
    <w:rsid w:val="00E0584B"/>
    <w:rsid w:val="00E06369"/>
    <w:rsid w:val="00E07F1A"/>
    <w:rsid w:val="00E13FAA"/>
    <w:rsid w:val="00E155E6"/>
    <w:rsid w:val="00E16B6D"/>
    <w:rsid w:val="00E1740A"/>
    <w:rsid w:val="00E2121A"/>
    <w:rsid w:val="00E220E1"/>
    <w:rsid w:val="00E26BC9"/>
    <w:rsid w:val="00E27331"/>
    <w:rsid w:val="00E301BF"/>
    <w:rsid w:val="00E31B75"/>
    <w:rsid w:val="00E42BDB"/>
    <w:rsid w:val="00E43EE9"/>
    <w:rsid w:val="00E44BF9"/>
    <w:rsid w:val="00E53C20"/>
    <w:rsid w:val="00E56292"/>
    <w:rsid w:val="00E56A52"/>
    <w:rsid w:val="00E5791F"/>
    <w:rsid w:val="00E61D3B"/>
    <w:rsid w:val="00E62F32"/>
    <w:rsid w:val="00E63A5E"/>
    <w:rsid w:val="00E640C0"/>
    <w:rsid w:val="00E717DB"/>
    <w:rsid w:val="00E814AC"/>
    <w:rsid w:val="00E85C79"/>
    <w:rsid w:val="00E91D16"/>
    <w:rsid w:val="00E91D8E"/>
    <w:rsid w:val="00EA0004"/>
    <w:rsid w:val="00EA1571"/>
    <w:rsid w:val="00EA1689"/>
    <w:rsid w:val="00EA1CC7"/>
    <w:rsid w:val="00EA7F21"/>
    <w:rsid w:val="00EB1B84"/>
    <w:rsid w:val="00EC05EF"/>
    <w:rsid w:val="00EC1C3C"/>
    <w:rsid w:val="00ED2C86"/>
    <w:rsid w:val="00ED61B7"/>
    <w:rsid w:val="00EE0013"/>
    <w:rsid w:val="00EE0399"/>
    <w:rsid w:val="00EF24B9"/>
    <w:rsid w:val="00EF67A6"/>
    <w:rsid w:val="00F0095C"/>
    <w:rsid w:val="00F029C1"/>
    <w:rsid w:val="00F02EF1"/>
    <w:rsid w:val="00F03221"/>
    <w:rsid w:val="00F117E9"/>
    <w:rsid w:val="00F12B65"/>
    <w:rsid w:val="00F169E0"/>
    <w:rsid w:val="00F239A2"/>
    <w:rsid w:val="00F25C2B"/>
    <w:rsid w:val="00F26C2D"/>
    <w:rsid w:val="00F26FBF"/>
    <w:rsid w:val="00F3026D"/>
    <w:rsid w:val="00F32ED5"/>
    <w:rsid w:val="00F36243"/>
    <w:rsid w:val="00F37CBD"/>
    <w:rsid w:val="00F416F1"/>
    <w:rsid w:val="00F42717"/>
    <w:rsid w:val="00F4271E"/>
    <w:rsid w:val="00F42E91"/>
    <w:rsid w:val="00F430C0"/>
    <w:rsid w:val="00F4669D"/>
    <w:rsid w:val="00F47594"/>
    <w:rsid w:val="00F50578"/>
    <w:rsid w:val="00F50A5D"/>
    <w:rsid w:val="00F51965"/>
    <w:rsid w:val="00F53847"/>
    <w:rsid w:val="00F541B6"/>
    <w:rsid w:val="00F57CD1"/>
    <w:rsid w:val="00F63923"/>
    <w:rsid w:val="00F639C2"/>
    <w:rsid w:val="00F65051"/>
    <w:rsid w:val="00F676E2"/>
    <w:rsid w:val="00F72C06"/>
    <w:rsid w:val="00F800A6"/>
    <w:rsid w:val="00F80DAE"/>
    <w:rsid w:val="00F843B8"/>
    <w:rsid w:val="00F86456"/>
    <w:rsid w:val="00F87877"/>
    <w:rsid w:val="00F87ECD"/>
    <w:rsid w:val="00F95B4B"/>
    <w:rsid w:val="00F95E35"/>
    <w:rsid w:val="00FA0A48"/>
    <w:rsid w:val="00FB0FF4"/>
    <w:rsid w:val="00FB1119"/>
    <w:rsid w:val="00FB3464"/>
    <w:rsid w:val="00FB7AE3"/>
    <w:rsid w:val="00FD190D"/>
    <w:rsid w:val="00FD2D81"/>
    <w:rsid w:val="00FD46FF"/>
    <w:rsid w:val="00FD5232"/>
    <w:rsid w:val="00FE3BC7"/>
    <w:rsid w:val="00FE69A9"/>
    <w:rsid w:val="00FE7764"/>
    <w:rsid w:val="00FE7A5C"/>
    <w:rsid w:val="00FF21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1E8FF08"/>
  <w15:docId w15:val="{0E157FDF-73B8-4CD2-90D2-9005AED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Std Bk" w:eastAsiaTheme="minorHAnsi" w:hAnsi="ITC Avant Garde Std Bk" w:cs="Open Sans Light"/>
        <w:color w:val="373C7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DF7"/>
    <w:pPr>
      <w:spacing w:before="120"/>
      <w:jc w:val="both"/>
    </w:pPr>
  </w:style>
  <w:style w:type="paragraph" w:styleId="berschrift1">
    <w:name w:val="heading 1"/>
    <w:aliases w:val="HEADING 1 - numbered"/>
    <w:basedOn w:val="Standard"/>
    <w:next w:val="Standard"/>
    <w:link w:val="berschrift1Zchn"/>
    <w:uiPriority w:val="9"/>
    <w:qFormat/>
    <w:rsid w:val="00914DF7"/>
    <w:pPr>
      <w:keepNext/>
      <w:keepLines/>
      <w:pageBreakBefore/>
      <w:numPr>
        <w:numId w:val="2"/>
      </w:numPr>
      <w:spacing w:before="480" w:after="0"/>
      <w:outlineLvl w:val="0"/>
    </w:pPr>
    <w:rPr>
      <w:rFonts w:eastAsiaTheme="majorEastAsia"/>
      <w:b/>
      <w:bCs/>
      <w:caps/>
      <w:color w:val="292C59" w:themeColor="accent1" w:themeShade="BF"/>
      <w:sz w:val="32"/>
      <w:szCs w:val="28"/>
    </w:rPr>
  </w:style>
  <w:style w:type="paragraph" w:styleId="berschrift2">
    <w:name w:val="heading 2"/>
    <w:basedOn w:val="Standard"/>
    <w:next w:val="Standard"/>
    <w:link w:val="berschrift2Zchn"/>
    <w:uiPriority w:val="9"/>
    <w:unhideWhenUsed/>
    <w:qFormat/>
    <w:rsid w:val="00914DF7"/>
    <w:pPr>
      <w:keepNext/>
      <w:keepLines/>
      <w:numPr>
        <w:ilvl w:val="1"/>
        <w:numId w:val="2"/>
      </w:numPr>
      <w:spacing w:before="200" w:after="0"/>
      <w:outlineLvl w:val="1"/>
    </w:pPr>
    <w:rPr>
      <w:rFonts w:eastAsiaTheme="majorEastAsia"/>
      <w:b/>
      <w:bCs/>
      <w:color w:val="373C78" w:themeColor="accent1"/>
      <w:sz w:val="28"/>
      <w:szCs w:val="26"/>
    </w:rPr>
  </w:style>
  <w:style w:type="paragraph" w:styleId="berschrift3">
    <w:name w:val="heading 3"/>
    <w:basedOn w:val="Standard"/>
    <w:next w:val="Standard"/>
    <w:link w:val="berschrift3Zchn"/>
    <w:uiPriority w:val="9"/>
    <w:unhideWhenUsed/>
    <w:qFormat/>
    <w:rsid w:val="00914DF7"/>
    <w:pPr>
      <w:keepNext/>
      <w:keepLines/>
      <w:spacing w:before="200" w:after="0"/>
      <w:outlineLvl w:val="2"/>
    </w:pPr>
    <w:rPr>
      <w:rFonts w:eastAsiaTheme="majorEastAsia"/>
      <w:b/>
      <w:bCs/>
      <w:color w:val="373C78" w:themeColor="accent1"/>
      <w:sz w:val="24"/>
    </w:rPr>
  </w:style>
  <w:style w:type="paragraph" w:styleId="berschrift4">
    <w:name w:val="heading 4"/>
    <w:basedOn w:val="Standard"/>
    <w:next w:val="Standard"/>
    <w:link w:val="berschrift4Zchn"/>
    <w:unhideWhenUsed/>
    <w:qFormat/>
    <w:rsid w:val="00914DF7"/>
    <w:pPr>
      <w:keepNext/>
      <w:keepLines/>
      <w:spacing w:before="200" w:after="0"/>
      <w:outlineLvl w:val="3"/>
    </w:pPr>
    <w:rPr>
      <w:rFonts w:eastAsiaTheme="majorEastAsia"/>
      <w:b/>
      <w:bCs/>
      <w:i/>
      <w:iCs/>
      <w:color w:val="373C78" w:themeColor="accent1"/>
      <w:sz w:val="24"/>
    </w:rPr>
  </w:style>
  <w:style w:type="paragraph" w:styleId="berschrift5">
    <w:name w:val="heading 5"/>
    <w:basedOn w:val="Standard"/>
    <w:next w:val="Standard"/>
    <w:link w:val="berschrift5Zchn"/>
    <w:unhideWhenUsed/>
    <w:qFormat/>
    <w:rsid w:val="00914DF7"/>
    <w:pPr>
      <w:keepNext/>
      <w:keepLines/>
      <w:spacing w:before="40" w:after="0"/>
      <w:outlineLvl w:val="4"/>
    </w:pPr>
    <w:rPr>
      <w:rFonts w:eastAsiaTheme="majorEastAsia" w:cstheme="majorBidi"/>
      <w:i/>
      <w:color w:val="292C59" w:themeColor="accent1" w:themeShade="BF"/>
    </w:rPr>
  </w:style>
  <w:style w:type="paragraph" w:styleId="berschrift6">
    <w:name w:val="heading 6"/>
    <w:basedOn w:val="Standard"/>
    <w:next w:val="Standard"/>
    <w:link w:val="berschrift6Zchn"/>
    <w:uiPriority w:val="9"/>
    <w:unhideWhenUsed/>
    <w:qFormat/>
    <w:rsid w:val="00914DF7"/>
    <w:pPr>
      <w:keepNext/>
      <w:keepLines/>
      <w:numPr>
        <w:ilvl w:val="5"/>
        <w:numId w:val="2"/>
      </w:numPr>
      <w:spacing w:before="40" w:after="0"/>
      <w:outlineLvl w:val="5"/>
    </w:pPr>
    <w:rPr>
      <w:rFonts w:asciiTheme="majorHAnsi" w:eastAsiaTheme="majorEastAsia" w:hAnsiTheme="majorHAnsi" w:cstheme="majorBidi"/>
      <w:color w:val="1B1D3B" w:themeColor="accent1" w:themeShade="7F"/>
    </w:rPr>
  </w:style>
  <w:style w:type="paragraph" w:styleId="berschrift7">
    <w:name w:val="heading 7"/>
    <w:basedOn w:val="Standard"/>
    <w:next w:val="Standard"/>
    <w:link w:val="berschrift7Zchn"/>
    <w:uiPriority w:val="9"/>
    <w:semiHidden/>
    <w:unhideWhenUsed/>
    <w:qFormat/>
    <w:rsid w:val="00914DF7"/>
    <w:pPr>
      <w:keepNext/>
      <w:keepLines/>
      <w:numPr>
        <w:ilvl w:val="6"/>
        <w:numId w:val="2"/>
      </w:numPr>
      <w:spacing w:before="40" w:after="0"/>
      <w:outlineLvl w:val="6"/>
    </w:pPr>
    <w:rPr>
      <w:rFonts w:asciiTheme="majorHAnsi" w:eastAsiaTheme="majorEastAsia" w:hAnsiTheme="majorHAnsi" w:cstheme="majorBidi"/>
      <w:i/>
      <w:iCs/>
      <w:color w:val="1B1D3B" w:themeColor="accent1" w:themeShade="7F"/>
    </w:rPr>
  </w:style>
  <w:style w:type="paragraph" w:styleId="berschrift8">
    <w:name w:val="heading 8"/>
    <w:basedOn w:val="Standard"/>
    <w:next w:val="Standard"/>
    <w:link w:val="berschrift8Zchn"/>
    <w:uiPriority w:val="9"/>
    <w:semiHidden/>
    <w:unhideWhenUsed/>
    <w:qFormat/>
    <w:rsid w:val="00914DF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14DF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points - Level 1"/>
    <w:basedOn w:val="Standard"/>
    <w:link w:val="ListenabsatzZchn"/>
    <w:uiPriority w:val="34"/>
    <w:qFormat/>
    <w:rsid w:val="00E31B75"/>
    <w:pPr>
      <w:numPr>
        <w:numId w:val="1"/>
      </w:numPr>
      <w:spacing w:before="0" w:after="0"/>
      <w:contextualSpacing/>
    </w:pPr>
  </w:style>
  <w:style w:type="paragraph" w:styleId="Sprechblasentext">
    <w:name w:val="Balloon Text"/>
    <w:basedOn w:val="Standard"/>
    <w:link w:val="SprechblasentextZchn"/>
    <w:uiPriority w:val="99"/>
    <w:semiHidden/>
    <w:unhideWhenUsed/>
    <w:rsid w:val="00000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0037"/>
    <w:rPr>
      <w:rFonts w:ascii="Tahoma" w:hAnsi="Tahoma" w:cs="Tahoma"/>
      <w:sz w:val="16"/>
      <w:szCs w:val="16"/>
    </w:rPr>
  </w:style>
  <w:style w:type="paragraph" w:styleId="Titel">
    <w:name w:val="Title"/>
    <w:basedOn w:val="Standard"/>
    <w:next w:val="Standard"/>
    <w:link w:val="TitelZchn"/>
    <w:uiPriority w:val="10"/>
    <w:rsid w:val="00DD1570"/>
    <w:pPr>
      <w:pBdr>
        <w:bottom w:val="single" w:sz="8" w:space="4" w:color="373C78" w:themeColor="accent1"/>
      </w:pBdr>
      <w:spacing w:after="300" w:line="240" w:lineRule="auto"/>
      <w:contextualSpacing/>
      <w:jc w:val="center"/>
    </w:pPr>
    <w:rPr>
      <w:rFonts w:eastAsia="Times New Roman" w:cstheme="majorBidi"/>
      <w:b/>
      <w:bCs/>
      <w:spacing w:val="5"/>
      <w:kern w:val="28"/>
      <w:sz w:val="52"/>
      <w:szCs w:val="52"/>
      <w:lang w:val="en-US" w:eastAsia="fr-BE"/>
    </w:rPr>
  </w:style>
  <w:style w:type="character" w:customStyle="1" w:styleId="TitelZchn">
    <w:name w:val="Titel Zchn"/>
    <w:basedOn w:val="Absatz-Standardschriftart"/>
    <w:link w:val="Titel"/>
    <w:uiPriority w:val="10"/>
    <w:rsid w:val="00DD1570"/>
    <w:rPr>
      <w:rFonts w:eastAsia="Times New Roman" w:cstheme="majorBidi"/>
      <w:b/>
      <w:bCs/>
      <w:color w:val="373C78"/>
      <w:spacing w:val="5"/>
      <w:kern w:val="28"/>
      <w:sz w:val="52"/>
      <w:szCs w:val="52"/>
      <w:lang w:val="en-US" w:eastAsia="fr-BE"/>
    </w:rPr>
  </w:style>
  <w:style w:type="character" w:styleId="Hyperlink">
    <w:name w:val="Hyperlink"/>
    <w:basedOn w:val="Absatz-Standardschriftart"/>
    <w:uiPriority w:val="99"/>
    <w:unhideWhenUsed/>
    <w:rsid w:val="0078605E"/>
    <w:rPr>
      <w:color w:val="373C78" w:themeColor="hyperlink"/>
      <w:u w:val="single"/>
    </w:rPr>
  </w:style>
  <w:style w:type="character" w:customStyle="1" w:styleId="berschrift1Zchn">
    <w:name w:val="Überschrift 1 Zchn"/>
    <w:aliases w:val="HEADING 1 - numbered Zchn"/>
    <w:basedOn w:val="Absatz-Standardschriftart"/>
    <w:link w:val="berschrift1"/>
    <w:uiPriority w:val="9"/>
    <w:rsid w:val="00914DF7"/>
    <w:rPr>
      <w:rFonts w:eastAsiaTheme="majorEastAsia"/>
      <w:b/>
      <w:bCs/>
      <w:caps/>
      <w:color w:val="292C59" w:themeColor="accent1" w:themeShade="BF"/>
      <w:sz w:val="32"/>
      <w:szCs w:val="28"/>
    </w:rPr>
  </w:style>
  <w:style w:type="character" w:customStyle="1" w:styleId="berschrift2Zchn">
    <w:name w:val="Überschrift 2 Zchn"/>
    <w:basedOn w:val="Absatz-Standardschriftart"/>
    <w:link w:val="berschrift2"/>
    <w:uiPriority w:val="9"/>
    <w:rsid w:val="00AC4095"/>
    <w:rPr>
      <w:rFonts w:eastAsiaTheme="majorEastAsia"/>
      <w:b/>
      <w:bCs/>
      <w:color w:val="373C78" w:themeColor="accent1"/>
      <w:sz w:val="28"/>
      <w:szCs w:val="26"/>
    </w:rPr>
  </w:style>
  <w:style w:type="character" w:customStyle="1" w:styleId="berschrift3Zchn">
    <w:name w:val="Überschrift 3 Zchn"/>
    <w:basedOn w:val="Absatz-Standardschriftart"/>
    <w:link w:val="berschrift3"/>
    <w:uiPriority w:val="9"/>
    <w:rsid w:val="00DC1ADA"/>
    <w:rPr>
      <w:rFonts w:ascii="ITC Avant Garde Std Bk" w:eastAsiaTheme="majorEastAsia" w:hAnsi="ITC Avant Garde Std Bk" w:cs="Open Sans Light"/>
      <w:b/>
      <w:bCs/>
      <w:color w:val="373C78" w:themeColor="accent1"/>
      <w:sz w:val="24"/>
    </w:rPr>
  </w:style>
  <w:style w:type="character" w:customStyle="1" w:styleId="berschrift4Zchn">
    <w:name w:val="Überschrift 4 Zchn"/>
    <w:basedOn w:val="Absatz-Standardschriftart"/>
    <w:link w:val="berschrift4"/>
    <w:uiPriority w:val="9"/>
    <w:rsid w:val="00DC1ADA"/>
    <w:rPr>
      <w:rFonts w:ascii="ITC Avant Garde Std Bk" w:eastAsiaTheme="majorEastAsia" w:hAnsi="ITC Avant Garde Std Bk" w:cs="Open Sans Light"/>
      <w:b/>
      <w:bCs/>
      <w:i/>
      <w:iCs/>
      <w:color w:val="373C78" w:themeColor="accent1"/>
      <w:sz w:val="24"/>
    </w:rPr>
  </w:style>
  <w:style w:type="paragraph" w:styleId="Inhaltsverzeichnisberschrift">
    <w:name w:val="TOC Heading"/>
    <w:basedOn w:val="berschrift1"/>
    <w:next w:val="Standard"/>
    <w:uiPriority w:val="39"/>
    <w:unhideWhenUsed/>
    <w:qFormat/>
    <w:rsid w:val="00DE48BB"/>
    <w:pPr>
      <w:spacing w:before="240" w:line="259" w:lineRule="auto"/>
      <w:outlineLvl w:val="9"/>
    </w:pPr>
    <w:rPr>
      <w:b w:val="0"/>
      <w:bCs w:val="0"/>
      <w:szCs w:val="32"/>
      <w:lang w:val="en-US"/>
    </w:rPr>
  </w:style>
  <w:style w:type="paragraph" w:styleId="Verzeichnis1">
    <w:name w:val="toc 1"/>
    <w:basedOn w:val="Standard"/>
    <w:next w:val="Standard"/>
    <w:autoRedefine/>
    <w:uiPriority w:val="39"/>
    <w:unhideWhenUsed/>
    <w:rsid w:val="00DE48BB"/>
    <w:pPr>
      <w:spacing w:after="100"/>
    </w:pPr>
  </w:style>
  <w:style w:type="paragraph" w:styleId="Verzeichnis2">
    <w:name w:val="toc 2"/>
    <w:basedOn w:val="Standard"/>
    <w:next w:val="Standard"/>
    <w:autoRedefine/>
    <w:uiPriority w:val="39"/>
    <w:unhideWhenUsed/>
    <w:rsid w:val="00DE48BB"/>
    <w:pPr>
      <w:spacing w:after="100"/>
      <w:ind w:left="220"/>
    </w:pPr>
  </w:style>
  <w:style w:type="paragraph" w:styleId="Verzeichnis3">
    <w:name w:val="toc 3"/>
    <w:basedOn w:val="Standard"/>
    <w:next w:val="Standard"/>
    <w:autoRedefine/>
    <w:uiPriority w:val="39"/>
    <w:unhideWhenUsed/>
    <w:rsid w:val="00DE48BB"/>
    <w:pPr>
      <w:spacing w:after="100"/>
      <w:ind w:left="440"/>
    </w:pPr>
  </w:style>
  <w:style w:type="paragraph" w:styleId="Kopfzeile">
    <w:name w:val="header"/>
    <w:basedOn w:val="Standard"/>
    <w:link w:val="KopfzeileZchn"/>
    <w:uiPriority w:val="99"/>
    <w:unhideWhenUsed/>
    <w:rsid w:val="00B215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58D"/>
  </w:style>
  <w:style w:type="paragraph" w:styleId="Fuzeile">
    <w:name w:val="footer"/>
    <w:basedOn w:val="Standard"/>
    <w:link w:val="FuzeileZchn"/>
    <w:uiPriority w:val="99"/>
    <w:unhideWhenUsed/>
    <w:rsid w:val="00B215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58D"/>
  </w:style>
  <w:style w:type="paragraph" w:customStyle="1" w:styleId="Default">
    <w:name w:val="Default"/>
    <w:rsid w:val="00B05030"/>
    <w:pPr>
      <w:widowControl w:val="0"/>
      <w:autoSpaceDE w:val="0"/>
      <w:autoSpaceDN w:val="0"/>
      <w:adjustRightInd w:val="0"/>
      <w:spacing w:after="0" w:line="240" w:lineRule="auto"/>
    </w:pPr>
    <w:rPr>
      <w:rFonts w:ascii="Myriad Pro Light" w:eastAsia="Times New Roman" w:hAnsi="Myriad Pro Light" w:cs="Cambria"/>
      <w:color w:val="000000"/>
      <w:sz w:val="18"/>
      <w:szCs w:val="24"/>
      <w:lang w:val="en-US"/>
    </w:rPr>
  </w:style>
  <w:style w:type="table" w:customStyle="1" w:styleId="GridTable1Light-Accent21">
    <w:name w:val="Grid Table 1 Light - Accent 21"/>
    <w:basedOn w:val="NormaleTabelle"/>
    <w:uiPriority w:val="46"/>
    <w:rsid w:val="00B05030"/>
    <w:pPr>
      <w:spacing w:after="0" w:line="240" w:lineRule="auto"/>
    </w:pPr>
    <w:rPr>
      <w:rFonts w:ascii="Myriad Pro Light" w:eastAsia="MS Mincho" w:hAnsi="Myriad Pro Light" w:cs="Times New Roman"/>
      <w:sz w:val="18"/>
      <w:szCs w:val="24"/>
      <w:lang w:val="fr-F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11">
    <w:name w:val="Grid Table 1 Light - Accent 211"/>
    <w:basedOn w:val="NormaleTabelle"/>
    <w:uiPriority w:val="46"/>
    <w:rsid w:val="00B05030"/>
    <w:pPr>
      <w:spacing w:after="0" w:line="240" w:lineRule="auto"/>
    </w:pPr>
    <w:rPr>
      <w:rFonts w:ascii="Myriad Pro Light" w:eastAsia="MS Mincho" w:hAnsi="Myriad Pro Light" w:cs="Times New Roman"/>
      <w:sz w:val="18"/>
      <w:szCs w:val="24"/>
      <w:lang w:val="fr-F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styleId="Hervorhebung">
    <w:name w:val="Emphasis"/>
    <w:basedOn w:val="Absatz-Standardschriftart"/>
    <w:uiPriority w:val="20"/>
    <w:rsid w:val="00CE38EB"/>
    <w:rPr>
      <w:rFonts w:ascii="Gill Sans Light" w:hAnsi="Gill Sans Light" w:cs="Times New Roman"/>
      <w:b w:val="0"/>
      <w:i/>
      <w:sz w:val="22"/>
    </w:rPr>
  </w:style>
  <w:style w:type="character" w:styleId="Fett">
    <w:name w:val="Strong"/>
    <w:basedOn w:val="Absatz-Standardschriftart"/>
    <w:uiPriority w:val="22"/>
    <w:qFormat/>
    <w:rsid w:val="00CE38EB"/>
    <w:rPr>
      <w:rFonts w:ascii="Gill Sans SemiBold" w:hAnsi="Gill Sans SemiBold" w:cs="Times New Roman"/>
      <w:b w:val="0"/>
      <w:i w:val="0"/>
      <w:sz w:val="22"/>
    </w:rPr>
  </w:style>
  <w:style w:type="character" w:customStyle="1" w:styleId="UnresolvedMention1">
    <w:name w:val="Unresolved Mention1"/>
    <w:basedOn w:val="Absatz-Standardschriftart"/>
    <w:uiPriority w:val="99"/>
    <w:semiHidden/>
    <w:unhideWhenUsed/>
    <w:rsid w:val="00603CD2"/>
    <w:rPr>
      <w:color w:val="605E5C"/>
      <w:shd w:val="clear" w:color="auto" w:fill="E1DFDD"/>
    </w:rPr>
  </w:style>
  <w:style w:type="character" w:customStyle="1" w:styleId="berschrift5Zchn">
    <w:name w:val="Überschrift 5 Zchn"/>
    <w:basedOn w:val="Absatz-Standardschriftart"/>
    <w:link w:val="berschrift5"/>
    <w:uiPriority w:val="9"/>
    <w:rsid w:val="004F0662"/>
    <w:rPr>
      <w:rFonts w:ascii="ITC Avant Garde Std Bk" w:eastAsiaTheme="majorEastAsia" w:hAnsi="ITC Avant Garde Std Bk" w:cstheme="majorBidi"/>
      <w:i/>
      <w:color w:val="292C59" w:themeColor="accent1" w:themeShade="BF"/>
    </w:rPr>
  </w:style>
  <w:style w:type="paragraph" w:styleId="Zitat">
    <w:name w:val="Quote"/>
    <w:basedOn w:val="Standard"/>
    <w:next w:val="Standard"/>
    <w:link w:val="ZitatZchn"/>
    <w:uiPriority w:val="29"/>
    <w:qFormat/>
    <w:rsid w:val="004F066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F0662"/>
    <w:rPr>
      <w:rFonts w:ascii="ITC Avant Garde Std Bk" w:hAnsi="ITC Avant Garde Std Bk" w:cs="Open Sans Light"/>
      <w:i/>
      <w:iCs/>
      <w:color w:val="404040" w:themeColor="text1" w:themeTint="BF"/>
    </w:rPr>
  </w:style>
  <w:style w:type="paragraph" w:customStyle="1" w:styleId="Figuresandtables">
    <w:name w:val="Figures and tables"/>
    <w:basedOn w:val="Listenabsatz"/>
    <w:link w:val="FiguresandtablesChar"/>
    <w:qFormat/>
    <w:rsid w:val="003C44D7"/>
    <w:pPr>
      <w:numPr>
        <w:numId w:val="0"/>
      </w:numPr>
      <w:jc w:val="center"/>
    </w:pPr>
    <w:rPr>
      <w:b/>
      <w:bCs/>
      <w:szCs w:val="20"/>
    </w:rPr>
  </w:style>
  <w:style w:type="paragraph" w:customStyle="1" w:styleId="Titles-non-numbered">
    <w:name w:val="Titles - non-numbered"/>
    <w:basedOn w:val="berschrift1"/>
    <w:link w:val="Titles-non-numberedChar"/>
    <w:qFormat/>
    <w:rsid w:val="00A73971"/>
    <w:pPr>
      <w:numPr>
        <w:numId w:val="0"/>
      </w:numPr>
    </w:pPr>
  </w:style>
  <w:style w:type="character" w:customStyle="1" w:styleId="ListenabsatzZchn">
    <w:name w:val="Listenabsatz Zchn"/>
    <w:aliases w:val="Bullet points - Level 1 Zchn"/>
    <w:basedOn w:val="Absatz-Standardschriftart"/>
    <w:link w:val="Listenabsatz"/>
    <w:uiPriority w:val="34"/>
    <w:rsid w:val="00E31B75"/>
  </w:style>
  <w:style w:type="character" w:customStyle="1" w:styleId="FiguresandtablesChar">
    <w:name w:val="Figures and tables Char"/>
    <w:basedOn w:val="ListenabsatzZchn"/>
    <w:link w:val="Figuresandtables"/>
    <w:rsid w:val="003C44D7"/>
    <w:rPr>
      <w:rFonts w:ascii="ITC Avant Garde Std Bk" w:hAnsi="ITC Avant Garde Std Bk" w:cs="Open Sans Light"/>
      <w:b/>
      <w:bCs/>
      <w:sz w:val="20"/>
      <w:szCs w:val="20"/>
    </w:rPr>
  </w:style>
  <w:style w:type="character" w:customStyle="1" w:styleId="Titles-non-numberedChar">
    <w:name w:val="Titles - non-numbered Char"/>
    <w:basedOn w:val="berschrift1Zchn"/>
    <w:link w:val="Titles-non-numbered"/>
    <w:rsid w:val="00A73971"/>
    <w:rPr>
      <w:rFonts w:ascii="ITC Avant Garde Std Bk" w:eastAsiaTheme="majorEastAsia" w:hAnsi="ITC Avant Garde Std Bk" w:cs="Open Sans Light"/>
      <w:b/>
      <w:bCs/>
      <w:caps/>
      <w:color w:val="292C59" w:themeColor="accent1" w:themeShade="BF"/>
      <w:sz w:val="32"/>
      <w:szCs w:val="28"/>
    </w:rPr>
  </w:style>
  <w:style w:type="character" w:styleId="Kommentarzeichen">
    <w:name w:val="annotation reference"/>
    <w:basedOn w:val="Absatz-Standardschriftart"/>
    <w:uiPriority w:val="99"/>
    <w:semiHidden/>
    <w:unhideWhenUsed/>
    <w:rsid w:val="00DD2BB7"/>
    <w:rPr>
      <w:sz w:val="16"/>
      <w:szCs w:val="16"/>
    </w:rPr>
  </w:style>
  <w:style w:type="paragraph" w:styleId="Kommentartext">
    <w:name w:val="annotation text"/>
    <w:basedOn w:val="Standard"/>
    <w:link w:val="KommentartextZchn"/>
    <w:uiPriority w:val="99"/>
    <w:unhideWhenUsed/>
    <w:rsid w:val="00DD2BB7"/>
    <w:pPr>
      <w:spacing w:line="240" w:lineRule="auto"/>
    </w:pPr>
    <w:rPr>
      <w:szCs w:val="20"/>
    </w:rPr>
  </w:style>
  <w:style w:type="character" w:customStyle="1" w:styleId="KommentartextZchn">
    <w:name w:val="Kommentartext Zchn"/>
    <w:basedOn w:val="Absatz-Standardschriftart"/>
    <w:link w:val="Kommentartext"/>
    <w:uiPriority w:val="99"/>
    <w:rsid w:val="00DD2BB7"/>
    <w:rPr>
      <w:rFonts w:ascii="ITC Avant Garde Std Bk" w:hAnsi="ITC Avant Garde Std Bk" w:cs="Open Sans Light"/>
      <w:sz w:val="20"/>
      <w:szCs w:val="20"/>
    </w:rPr>
  </w:style>
  <w:style w:type="paragraph" w:styleId="Kommentarthema">
    <w:name w:val="annotation subject"/>
    <w:basedOn w:val="Kommentartext"/>
    <w:next w:val="Kommentartext"/>
    <w:link w:val="KommentarthemaZchn"/>
    <w:uiPriority w:val="99"/>
    <w:semiHidden/>
    <w:unhideWhenUsed/>
    <w:rsid w:val="00DD2BB7"/>
    <w:rPr>
      <w:b/>
      <w:bCs/>
    </w:rPr>
  </w:style>
  <w:style w:type="character" w:customStyle="1" w:styleId="KommentarthemaZchn">
    <w:name w:val="Kommentarthema Zchn"/>
    <w:basedOn w:val="KommentartextZchn"/>
    <w:link w:val="Kommentarthema"/>
    <w:uiPriority w:val="99"/>
    <w:semiHidden/>
    <w:rsid w:val="00DD2BB7"/>
    <w:rPr>
      <w:rFonts w:ascii="ITC Avant Garde Std Bk" w:hAnsi="ITC Avant Garde Std Bk" w:cs="Open Sans Light"/>
      <w:b/>
      <w:bCs/>
      <w:sz w:val="20"/>
      <w:szCs w:val="20"/>
    </w:rPr>
  </w:style>
  <w:style w:type="paragraph" w:customStyle="1" w:styleId="Bulletpointslevel2">
    <w:name w:val="Bullet points level 2"/>
    <w:basedOn w:val="Listenabsatz"/>
    <w:link w:val="Bulletpointslevel2Char"/>
    <w:qFormat/>
    <w:rsid w:val="003E745F"/>
    <w:pPr>
      <w:numPr>
        <w:ilvl w:val="1"/>
      </w:numPr>
      <w:ind w:left="1434" w:hanging="357"/>
    </w:pPr>
    <w:rPr>
      <w:lang w:val="en-US"/>
    </w:rPr>
  </w:style>
  <w:style w:type="paragraph" w:customStyle="1" w:styleId="bulletpoints-level3">
    <w:name w:val="bullet points - level 3"/>
    <w:basedOn w:val="Listenabsatz"/>
    <w:link w:val="bulletpoints-level3Char"/>
    <w:qFormat/>
    <w:rsid w:val="003E745F"/>
    <w:pPr>
      <w:numPr>
        <w:ilvl w:val="2"/>
      </w:numPr>
      <w:ind w:left="2154" w:hanging="357"/>
    </w:pPr>
  </w:style>
  <w:style w:type="character" w:customStyle="1" w:styleId="Bulletpointslevel2Char">
    <w:name w:val="Bullet points level 2 Char"/>
    <w:basedOn w:val="ListenabsatzZchn"/>
    <w:link w:val="Bulletpointslevel2"/>
    <w:rsid w:val="003E745F"/>
    <w:rPr>
      <w:lang w:val="en-US"/>
    </w:rPr>
  </w:style>
  <w:style w:type="character" w:customStyle="1" w:styleId="bulletpoints-level3Char">
    <w:name w:val="bullet points - level 3 Char"/>
    <w:basedOn w:val="ListenabsatzZchn"/>
    <w:link w:val="bulletpoints-level3"/>
    <w:rsid w:val="003E745F"/>
  </w:style>
  <w:style w:type="paragraph" w:styleId="Untertitel">
    <w:name w:val="Subtitle"/>
    <w:basedOn w:val="Standard"/>
    <w:next w:val="Standard"/>
    <w:link w:val="UntertitelZchn"/>
    <w:uiPriority w:val="11"/>
    <w:rsid w:val="00DD1570"/>
    <w:pPr>
      <w:jc w:val="center"/>
    </w:pPr>
    <w:rPr>
      <w:b/>
      <w:bCs/>
      <w:lang w:val="en-US"/>
    </w:rPr>
  </w:style>
  <w:style w:type="character" w:customStyle="1" w:styleId="UntertitelZchn">
    <w:name w:val="Untertitel Zchn"/>
    <w:basedOn w:val="Absatz-Standardschriftart"/>
    <w:link w:val="Untertitel"/>
    <w:uiPriority w:val="11"/>
    <w:rsid w:val="00DD1570"/>
    <w:rPr>
      <w:b/>
      <w:bCs/>
      <w:color w:val="373C78"/>
      <w:lang w:val="en-US"/>
    </w:rPr>
  </w:style>
  <w:style w:type="table" w:styleId="Tabellenraster">
    <w:name w:val="Table Grid"/>
    <w:basedOn w:val="NormaleTabelle"/>
    <w:uiPriority w:val="59"/>
    <w:rsid w:val="00B7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NormaleTabelle"/>
    <w:uiPriority w:val="45"/>
    <w:rsid w:val="00B70B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NormaleTabelle"/>
    <w:uiPriority w:val="40"/>
    <w:rsid w:val="00B70B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chriftung">
    <w:name w:val="caption"/>
    <w:basedOn w:val="Figuresandtables"/>
    <w:next w:val="Standard"/>
    <w:uiPriority w:val="35"/>
    <w:unhideWhenUsed/>
    <w:qFormat/>
    <w:rsid w:val="00E26BC9"/>
    <w:pPr>
      <w:spacing w:before="120"/>
    </w:pPr>
    <w:rPr>
      <w:iCs/>
      <w:color w:val="373C78" w:themeColor="accent1"/>
      <w:sz w:val="18"/>
      <w:szCs w:val="18"/>
    </w:rPr>
  </w:style>
  <w:style w:type="table" w:customStyle="1" w:styleId="GridTable1Light-Accent11">
    <w:name w:val="Grid Table 1 Light - Accent 11"/>
    <w:basedOn w:val="NormaleTabelle"/>
    <w:uiPriority w:val="46"/>
    <w:rsid w:val="00DE5BEE"/>
    <w:pPr>
      <w:spacing w:after="0" w:line="240" w:lineRule="auto"/>
    </w:pPr>
    <w:tblPr>
      <w:tblStyleRowBandSize w:val="1"/>
      <w:tblStyleColBandSize w:val="1"/>
      <w:tblBorders>
        <w:top w:val="single" w:sz="4" w:space="0" w:color="A3A6D5" w:themeColor="accent1" w:themeTint="66"/>
        <w:left w:val="single" w:sz="4" w:space="0" w:color="A3A6D5" w:themeColor="accent1" w:themeTint="66"/>
        <w:bottom w:val="single" w:sz="4" w:space="0" w:color="A3A6D5" w:themeColor="accent1" w:themeTint="66"/>
        <w:right w:val="single" w:sz="4" w:space="0" w:color="A3A6D5" w:themeColor="accent1" w:themeTint="66"/>
        <w:insideH w:val="single" w:sz="4" w:space="0" w:color="A3A6D5" w:themeColor="accent1" w:themeTint="66"/>
        <w:insideV w:val="single" w:sz="4" w:space="0" w:color="A3A6D5" w:themeColor="accent1" w:themeTint="66"/>
      </w:tblBorders>
    </w:tblPr>
    <w:tblStylePr w:type="firstRow">
      <w:rPr>
        <w:b/>
        <w:bCs/>
      </w:rPr>
      <w:tblPr/>
      <w:tcPr>
        <w:tcBorders>
          <w:bottom w:val="single" w:sz="12" w:space="0" w:color="757ABF" w:themeColor="accent1" w:themeTint="99"/>
        </w:tcBorders>
      </w:tcPr>
    </w:tblStylePr>
    <w:tblStylePr w:type="lastRow">
      <w:rPr>
        <w:b/>
        <w:bCs/>
      </w:rPr>
      <w:tblPr/>
      <w:tcPr>
        <w:tcBorders>
          <w:top w:val="double" w:sz="2" w:space="0" w:color="757ABF" w:themeColor="accent1" w:themeTint="99"/>
        </w:tcBorders>
      </w:tcPr>
    </w:tblStylePr>
    <w:tblStylePr w:type="firstCol">
      <w:rPr>
        <w:b/>
        <w:bCs/>
      </w:rPr>
    </w:tblStylePr>
    <w:tblStylePr w:type="lastCol">
      <w:rPr>
        <w:b/>
        <w:bCs/>
      </w:rPr>
    </w:tblStylePr>
  </w:style>
  <w:style w:type="table" w:customStyle="1" w:styleId="GridTable21">
    <w:name w:val="Grid Table 21"/>
    <w:basedOn w:val="NormaleTabelle"/>
    <w:uiPriority w:val="47"/>
    <w:rsid w:val="00DE5B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22">
    <w:name w:val="Grid Table 1 Light - Accent 22"/>
    <w:basedOn w:val="NormaleTabelle"/>
    <w:uiPriority w:val="46"/>
    <w:rsid w:val="00DE5BEE"/>
    <w:pPr>
      <w:spacing w:after="0" w:line="240" w:lineRule="auto"/>
    </w:pPr>
    <w:tblPr>
      <w:tblStyleRowBandSize w:val="1"/>
      <w:tblStyleColBandSize w:val="1"/>
      <w:tblBorders>
        <w:top w:val="single" w:sz="4" w:space="0" w:color="D5E7E1" w:themeColor="accent2" w:themeTint="66"/>
        <w:left w:val="single" w:sz="4" w:space="0" w:color="D5E7E1" w:themeColor="accent2" w:themeTint="66"/>
        <w:bottom w:val="single" w:sz="4" w:space="0" w:color="D5E7E1" w:themeColor="accent2" w:themeTint="66"/>
        <w:right w:val="single" w:sz="4" w:space="0" w:color="D5E7E1" w:themeColor="accent2" w:themeTint="66"/>
        <w:insideH w:val="single" w:sz="4" w:space="0" w:color="D5E7E1" w:themeColor="accent2" w:themeTint="66"/>
        <w:insideV w:val="single" w:sz="4" w:space="0" w:color="D5E7E1" w:themeColor="accent2" w:themeTint="66"/>
      </w:tblBorders>
    </w:tblPr>
    <w:tblStylePr w:type="firstRow">
      <w:rPr>
        <w:b/>
        <w:bCs/>
      </w:rPr>
      <w:tblPr/>
      <w:tcPr>
        <w:tcBorders>
          <w:bottom w:val="single" w:sz="12" w:space="0" w:color="C0DBD2" w:themeColor="accent2" w:themeTint="99"/>
        </w:tcBorders>
      </w:tcPr>
    </w:tblStylePr>
    <w:tblStylePr w:type="lastRow">
      <w:rPr>
        <w:b/>
        <w:bCs/>
      </w:rPr>
      <w:tblPr/>
      <w:tcPr>
        <w:tcBorders>
          <w:top w:val="double" w:sz="2" w:space="0" w:color="C0DBD2"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NormaleTabelle"/>
    <w:uiPriority w:val="46"/>
    <w:rsid w:val="00DE5B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aleTabelle"/>
    <w:uiPriority w:val="46"/>
    <w:rsid w:val="00DE5BEE"/>
    <w:pPr>
      <w:spacing w:after="0" w:line="240" w:lineRule="auto"/>
    </w:pPr>
    <w:tblPr>
      <w:tblStyleRowBandSize w:val="1"/>
      <w:tblStyleColBandSize w:val="1"/>
      <w:tblBorders>
        <w:top w:val="single" w:sz="4" w:space="0" w:color="FDDEA1" w:themeColor="accent3" w:themeTint="66"/>
        <w:left w:val="single" w:sz="4" w:space="0" w:color="FDDEA1" w:themeColor="accent3" w:themeTint="66"/>
        <w:bottom w:val="single" w:sz="4" w:space="0" w:color="FDDEA1" w:themeColor="accent3" w:themeTint="66"/>
        <w:right w:val="single" w:sz="4" w:space="0" w:color="FDDEA1" w:themeColor="accent3" w:themeTint="66"/>
        <w:insideH w:val="single" w:sz="4" w:space="0" w:color="FDDEA1" w:themeColor="accent3" w:themeTint="66"/>
        <w:insideV w:val="single" w:sz="4" w:space="0" w:color="FDDEA1" w:themeColor="accent3" w:themeTint="66"/>
      </w:tblBorders>
    </w:tblPr>
    <w:tblStylePr w:type="firstRow">
      <w:rPr>
        <w:b/>
        <w:bCs/>
      </w:rPr>
      <w:tblPr/>
      <w:tcPr>
        <w:tcBorders>
          <w:bottom w:val="single" w:sz="12" w:space="0" w:color="FCCE72" w:themeColor="accent3" w:themeTint="99"/>
        </w:tcBorders>
      </w:tcPr>
    </w:tblStylePr>
    <w:tblStylePr w:type="lastRow">
      <w:rPr>
        <w:b/>
        <w:bCs/>
      </w:rPr>
      <w:tblPr/>
      <w:tcPr>
        <w:tcBorders>
          <w:top w:val="double" w:sz="2" w:space="0" w:color="FCCE72" w:themeColor="accent3"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unhideWhenUsed/>
    <w:qFormat/>
    <w:rsid w:val="003E745F"/>
    <w:pPr>
      <w:spacing w:before="0" w:after="0" w:line="240" w:lineRule="auto"/>
    </w:pPr>
    <w:rPr>
      <w:szCs w:val="24"/>
    </w:rPr>
  </w:style>
  <w:style w:type="character" w:customStyle="1" w:styleId="FunotentextZchn">
    <w:name w:val="Fußnotentext Zchn"/>
    <w:basedOn w:val="Absatz-Standardschriftart"/>
    <w:link w:val="Funotentext"/>
    <w:uiPriority w:val="99"/>
    <w:rsid w:val="003E745F"/>
    <w:rPr>
      <w:sz w:val="20"/>
      <w:szCs w:val="24"/>
    </w:rPr>
  </w:style>
  <w:style w:type="character" w:styleId="Funotenzeichen">
    <w:name w:val="footnote reference"/>
    <w:basedOn w:val="Absatz-Standardschriftart"/>
    <w:unhideWhenUsed/>
    <w:rsid w:val="003E745F"/>
    <w:rPr>
      <w:vertAlign w:val="superscript"/>
    </w:rPr>
  </w:style>
  <w:style w:type="character" w:customStyle="1" w:styleId="berschrift6Zchn">
    <w:name w:val="Überschrift 6 Zchn"/>
    <w:basedOn w:val="Absatz-Standardschriftart"/>
    <w:link w:val="berschrift6"/>
    <w:uiPriority w:val="9"/>
    <w:rsid w:val="00914DF7"/>
    <w:rPr>
      <w:rFonts w:asciiTheme="majorHAnsi" w:eastAsiaTheme="majorEastAsia" w:hAnsiTheme="majorHAnsi" w:cstheme="majorBidi"/>
      <w:color w:val="1B1D3B" w:themeColor="accent1" w:themeShade="7F"/>
    </w:rPr>
  </w:style>
  <w:style w:type="character" w:customStyle="1" w:styleId="berschrift7Zchn">
    <w:name w:val="Überschrift 7 Zchn"/>
    <w:basedOn w:val="Absatz-Standardschriftart"/>
    <w:link w:val="berschrift7"/>
    <w:uiPriority w:val="9"/>
    <w:semiHidden/>
    <w:rsid w:val="00914DF7"/>
    <w:rPr>
      <w:rFonts w:asciiTheme="majorHAnsi" w:eastAsiaTheme="majorEastAsia" w:hAnsiTheme="majorHAnsi" w:cstheme="majorBidi"/>
      <w:i/>
      <w:iCs/>
      <w:color w:val="1B1D3B" w:themeColor="accent1" w:themeShade="7F"/>
    </w:rPr>
  </w:style>
  <w:style w:type="character" w:customStyle="1" w:styleId="berschrift8Zchn">
    <w:name w:val="Überschrift 8 Zchn"/>
    <w:basedOn w:val="Absatz-Standardschriftart"/>
    <w:link w:val="berschrift8"/>
    <w:uiPriority w:val="9"/>
    <w:semiHidden/>
    <w:rsid w:val="00914DF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14DF7"/>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D27BD4"/>
    <w:pPr>
      <w:spacing w:after="0" w:line="240" w:lineRule="auto"/>
    </w:pPr>
  </w:style>
  <w:style w:type="table" w:styleId="Listentabelle3Akzent5">
    <w:name w:val="List Table 3 Accent 5"/>
    <w:basedOn w:val="NormaleTabelle"/>
    <w:uiPriority w:val="48"/>
    <w:rsid w:val="00A23CE0"/>
    <w:pPr>
      <w:spacing w:after="0" w:line="240" w:lineRule="auto"/>
    </w:pPr>
    <w:rPr>
      <w:color w:val="auto"/>
      <w:sz w:val="22"/>
    </w:rPr>
    <w:tblPr>
      <w:tblStyleRowBandSize w:val="1"/>
      <w:tblStyleColBandSize w:val="1"/>
      <w:tblBorders>
        <w:top w:val="single" w:sz="4" w:space="0" w:color="009187" w:themeColor="accent5"/>
        <w:left w:val="single" w:sz="4" w:space="0" w:color="009187" w:themeColor="accent5"/>
        <w:bottom w:val="single" w:sz="4" w:space="0" w:color="009187" w:themeColor="accent5"/>
        <w:right w:val="single" w:sz="4" w:space="0" w:color="009187" w:themeColor="accent5"/>
      </w:tblBorders>
    </w:tblPr>
    <w:tblStylePr w:type="firstRow">
      <w:rPr>
        <w:b/>
        <w:bCs/>
        <w:color w:val="FFFFFF" w:themeColor="background1"/>
      </w:rPr>
      <w:tblPr/>
      <w:tcPr>
        <w:shd w:val="clear" w:color="auto" w:fill="009187" w:themeFill="accent5"/>
      </w:tcPr>
    </w:tblStylePr>
    <w:tblStylePr w:type="lastRow">
      <w:rPr>
        <w:b/>
        <w:bCs/>
      </w:rPr>
      <w:tblPr/>
      <w:tcPr>
        <w:tcBorders>
          <w:top w:val="double" w:sz="4" w:space="0" w:color="00918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87" w:themeColor="accent5"/>
          <w:right w:val="single" w:sz="4" w:space="0" w:color="009187" w:themeColor="accent5"/>
        </w:tcBorders>
      </w:tcPr>
    </w:tblStylePr>
    <w:tblStylePr w:type="band1Horz">
      <w:tblPr/>
      <w:tcPr>
        <w:tcBorders>
          <w:top w:val="single" w:sz="4" w:space="0" w:color="009187" w:themeColor="accent5"/>
          <w:bottom w:val="single" w:sz="4" w:space="0" w:color="00918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87" w:themeColor="accent5"/>
          <w:left w:val="nil"/>
        </w:tcBorders>
      </w:tcPr>
    </w:tblStylePr>
    <w:tblStylePr w:type="swCell">
      <w:tblPr/>
      <w:tcPr>
        <w:tcBorders>
          <w:top w:val="double" w:sz="4" w:space="0" w:color="009187" w:themeColor="accent5"/>
          <w:right w:val="nil"/>
        </w:tcBorders>
      </w:tcPr>
    </w:tblStylePr>
  </w:style>
  <w:style w:type="character" w:customStyle="1" w:styleId="Menzione1">
    <w:name w:val="Menzione1"/>
    <w:basedOn w:val="Absatz-Standardschriftart"/>
    <w:uiPriority w:val="99"/>
    <w:unhideWhenUsed/>
    <w:rsid w:val="00AC6490"/>
    <w:rPr>
      <w:color w:val="2B579A"/>
      <w:shd w:val="clear" w:color="auto" w:fill="E1DFDD"/>
    </w:rPr>
  </w:style>
  <w:style w:type="paragraph" w:customStyle="1" w:styleId="Aufzhlungrot">
    <w:name w:val="Aufzählung_rot"/>
    <w:basedOn w:val="Standard"/>
    <w:unhideWhenUsed/>
    <w:qFormat/>
    <w:rsid w:val="00D20A55"/>
    <w:pPr>
      <w:numPr>
        <w:numId w:val="24"/>
      </w:numPr>
      <w:tabs>
        <w:tab w:val="left" w:pos="284"/>
      </w:tabs>
    </w:pPr>
    <w:rPr>
      <w:lang w:val="en-US" w:eastAsia="de-DE"/>
    </w:rPr>
  </w:style>
  <w:style w:type="table" w:styleId="Gitternetztabelle1hellAkzent3">
    <w:name w:val="Grid Table 1 Light Accent 3"/>
    <w:basedOn w:val="NormaleTabelle"/>
    <w:uiPriority w:val="46"/>
    <w:rsid w:val="006D0ADA"/>
    <w:pPr>
      <w:spacing w:after="0" w:line="240" w:lineRule="auto"/>
    </w:pPr>
    <w:tblPr>
      <w:tblStyleRowBandSize w:val="1"/>
      <w:tblStyleColBandSize w:val="1"/>
      <w:tblBorders>
        <w:top w:val="single" w:sz="4" w:space="0" w:color="FDDEA1" w:themeColor="accent3" w:themeTint="66"/>
        <w:left w:val="single" w:sz="4" w:space="0" w:color="FDDEA1" w:themeColor="accent3" w:themeTint="66"/>
        <w:bottom w:val="single" w:sz="4" w:space="0" w:color="FDDEA1" w:themeColor="accent3" w:themeTint="66"/>
        <w:right w:val="single" w:sz="4" w:space="0" w:color="FDDEA1" w:themeColor="accent3" w:themeTint="66"/>
        <w:insideH w:val="single" w:sz="4" w:space="0" w:color="FDDEA1" w:themeColor="accent3" w:themeTint="66"/>
        <w:insideV w:val="single" w:sz="4" w:space="0" w:color="FDDEA1" w:themeColor="accent3" w:themeTint="66"/>
      </w:tblBorders>
    </w:tblPr>
    <w:tblStylePr w:type="firstRow">
      <w:rPr>
        <w:b/>
        <w:bCs/>
      </w:rPr>
      <w:tblPr/>
      <w:tcPr>
        <w:tcBorders>
          <w:bottom w:val="single" w:sz="12" w:space="0" w:color="FCCE72" w:themeColor="accent3" w:themeTint="99"/>
        </w:tcBorders>
      </w:tcPr>
    </w:tblStylePr>
    <w:tblStylePr w:type="lastRow">
      <w:rPr>
        <w:b/>
        <w:bCs/>
      </w:rPr>
      <w:tblPr/>
      <w:tcPr>
        <w:tcBorders>
          <w:top w:val="double" w:sz="2" w:space="0" w:color="FCCE72" w:themeColor="accent3" w:themeTint="99"/>
        </w:tcBorders>
      </w:tcPr>
    </w:tblStylePr>
    <w:tblStylePr w:type="firstCol">
      <w:rPr>
        <w:b/>
        <w:bCs/>
      </w:rPr>
    </w:tblStylePr>
    <w:tblStylePr w:type="lastCol">
      <w:rPr>
        <w:b/>
        <w:bCs/>
      </w:rPr>
    </w:tblStylePr>
  </w:style>
  <w:style w:type="paragraph" w:styleId="Abbildungsverzeichnis">
    <w:name w:val="table of figures"/>
    <w:basedOn w:val="Standard"/>
    <w:next w:val="Standard"/>
    <w:uiPriority w:val="99"/>
    <w:unhideWhenUsed/>
    <w:rsid w:val="00E03220"/>
    <w:pPr>
      <w:spacing w:after="0"/>
    </w:pPr>
  </w:style>
  <w:style w:type="character" w:styleId="BesuchterLink">
    <w:name w:val="FollowedHyperlink"/>
    <w:basedOn w:val="Absatz-Standardschriftart"/>
    <w:uiPriority w:val="99"/>
    <w:semiHidden/>
    <w:unhideWhenUsed/>
    <w:rsid w:val="00BE384C"/>
    <w:rPr>
      <w:color w:val="BD4475" w:themeColor="followedHyperlink"/>
      <w:u w:val="single"/>
    </w:rPr>
  </w:style>
  <w:style w:type="character" w:customStyle="1" w:styleId="UnresolvedMention">
    <w:name w:val="Unresolved Mention"/>
    <w:basedOn w:val="Absatz-Standardschriftart"/>
    <w:uiPriority w:val="99"/>
    <w:semiHidden/>
    <w:unhideWhenUsed/>
    <w:rsid w:val="00BE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726">
      <w:bodyDiv w:val="1"/>
      <w:marLeft w:val="0"/>
      <w:marRight w:val="0"/>
      <w:marTop w:val="0"/>
      <w:marBottom w:val="0"/>
      <w:divBdr>
        <w:top w:val="none" w:sz="0" w:space="0" w:color="auto"/>
        <w:left w:val="none" w:sz="0" w:space="0" w:color="auto"/>
        <w:bottom w:val="none" w:sz="0" w:space="0" w:color="auto"/>
        <w:right w:val="none" w:sz="0" w:space="0" w:color="auto"/>
      </w:divBdr>
    </w:div>
    <w:div w:id="99496556">
      <w:bodyDiv w:val="1"/>
      <w:marLeft w:val="0"/>
      <w:marRight w:val="0"/>
      <w:marTop w:val="0"/>
      <w:marBottom w:val="0"/>
      <w:divBdr>
        <w:top w:val="none" w:sz="0" w:space="0" w:color="auto"/>
        <w:left w:val="none" w:sz="0" w:space="0" w:color="auto"/>
        <w:bottom w:val="none" w:sz="0" w:space="0" w:color="auto"/>
        <w:right w:val="none" w:sz="0" w:space="0" w:color="auto"/>
      </w:divBdr>
    </w:div>
    <w:div w:id="152962179">
      <w:bodyDiv w:val="1"/>
      <w:marLeft w:val="0"/>
      <w:marRight w:val="0"/>
      <w:marTop w:val="0"/>
      <w:marBottom w:val="0"/>
      <w:divBdr>
        <w:top w:val="none" w:sz="0" w:space="0" w:color="auto"/>
        <w:left w:val="none" w:sz="0" w:space="0" w:color="auto"/>
        <w:bottom w:val="none" w:sz="0" w:space="0" w:color="auto"/>
        <w:right w:val="none" w:sz="0" w:space="0" w:color="auto"/>
      </w:divBdr>
    </w:div>
    <w:div w:id="344407801">
      <w:bodyDiv w:val="1"/>
      <w:marLeft w:val="0"/>
      <w:marRight w:val="0"/>
      <w:marTop w:val="0"/>
      <w:marBottom w:val="0"/>
      <w:divBdr>
        <w:top w:val="none" w:sz="0" w:space="0" w:color="auto"/>
        <w:left w:val="none" w:sz="0" w:space="0" w:color="auto"/>
        <w:bottom w:val="none" w:sz="0" w:space="0" w:color="auto"/>
        <w:right w:val="none" w:sz="0" w:space="0" w:color="auto"/>
      </w:divBdr>
    </w:div>
    <w:div w:id="445198413">
      <w:bodyDiv w:val="1"/>
      <w:marLeft w:val="0"/>
      <w:marRight w:val="0"/>
      <w:marTop w:val="0"/>
      <w:marBottom w:val="0"/>
      <w:divBdr>
        <w:top w:val="none" w:sz="0" w:space="0" w:color="auto"/>
        <w:left w:val="none" w:sz="0" w:space="0" w:color="auto"/>
        <w:bottom w:val="none" w:sz="0" w:space="0" w:color="auto"/>
        <w:right w:val="none" w:sz="0" w:space="0" w:color="auto"/>
      </w:divBdr>
    </w:div>
    <w:div w:id="557477814">
      <w:bodyDiv w:val="1"/>
      <w:marLeft w:val="0"/>
      <w:marRight w:val="0"/>
      <w:marTop w:val="0"/>
      <w:marBottom w:val="0"/>
      <w:divBdr>
        <w:top w:val="none" w:sz="0" w:space="0" w:color="auto"/>
        <w:left w:val="none" w:sz="0" w:space="0" w:color="auto"/>
        <w:bottom w:val="none" w:sz="0" w:space="0" w:color="auto"/>
        <w:right w:val="none" w:sz="0" w:space="0" w:color="auto"/>
      </w:divBdr>
    </w:div>
    <w:div w:id="698703229">
      <w:bodyDiv w:val="1"/>
      <w:marLeft w:val="0"/>
      <w:marRight w:val="0"/>
      <w:marTop w:val="0"/>
      <w:marBottom w:val="0"/>
      <w:divBdr>
        <w:top w:val="none" w:sz="0" w:space="0" w:color="auto"/>
        <w:left w:val="none" w:sz="0" w:space="0" w:color="auto"/>
        <w:bottom w:val="none" w:sz="0" w:space="0" w:color="auto"/>
        <w:right w:val="none" w:sz="0" w:space="0" w:color="auto"/>
      </w:divBdr>
    </w:div>
    <w:div w:id="736441864">
      <w:bodyDiv w:val="1"/>
      <w:marLeft w:val="0"/>
      <w:marRight w:val="0"/>
      <w:marTop w:val="0"/>
      <w:marBottom w:val="0"/>
      <w:divBdr>
        <w:top w:val="none" w:sz="0" w:space="0" w:color="auto"/>
        <w:left w:val="none" w:sz="0" w:space="0" w:color="auto"/>
        <w:bottom w:val="none" w:sz="0" w:space="0" w:color="auto"/>
        <w:right w:val="none" w:sz="0" w:space="0" w:color="auto"/>
      </w:divBdr>
    </w:div>
    <w:div w:id="1002244820">
      <w:bodyDiv w:val="1"/>
      <w:marLeft w:val="0"/>
      <w:marRight w:val="0"/>
      <w:marTop w:val="0"/>
      <w:marBottom w:val="0"/>
      <w:divBdr>
        <w:top w:val="none" w:sz="0" w:space="0" w:color="auto"/>
        <w:left w:val="none" w:sz="0" w:space="0" w:color="auto"/>
        <w:bottom w:val="none" w:sz="0" w:space="0" w:color="auto"/>
        <w:right w:val="none" w:sz="0" w:space="0" w:color="auto"/>
      </w:divBdr>
    </w:div>
    <w:div w:id="1429081673">
      <w:bodyDiv w:val="1"/>
      <w:marLeft w:val="0"/>
      <w:marRight w:val="0"/>
      <w:marTop w:val="0"/>
      <w:marBottom w:val="0"/>
      <w:divBdr>
        <w:top w:val="none" w:sz="0" w:space="0" w:color="auto"/>
        <w:left w:val="none" w:sz="0" w:space="0" w:color="auto"/>
        <w:bottom w:val="none" w:sz="0" w:space="0" w:color="auto"/>
        <w:right w:val="none" w:sz="0" w:space="0" w:color="auto"/>
      </w:divBdr>
    </w:div>
    <w:div w:id="1557201882">
      <w:bodyDiv w:val="1"/>
      <w:marLeft w:val="0"/>
      <w:marRight w:val="0"/>
      <w:marTop w:val="0"/>
      <w:marBottom w:val="0"/>
      <w:divBdr>
        <w:top w:val="none" w:sz="0" w:space="0" w:color="auto"/>
        <w:left w:val="none" w:sz="0" w:space="0" w:color="auto"/>
        <w:bottom w:val="none" w:sz="0" w:space="0" w:color="auto"/>
        <w:right w:val="none" w:sz="0" w:space="0" w:color="auto"/>
      </w:divBdr>
    </w:div>
    <w:div w:id="21218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RenOnBill">
      <a:dk1>
        <a:sysClr val="windowText" lastClr="000000"/>
      </a:dk1>
      <a:lt1>
        <a:sysClr val="window" lastClr="FFFFFF"/>
      </a:lt1>
      <a:dk2>
        <a:srgbClr val="1F497D"/>
      </a:dk2>
      <a:lt2>
        <a:srgbClr val="EEECE1"/>
      </a:lt2>
      <a:accent1>
        <a:srgbClr val="373C78"/>
      </a:accent1>
      <a:accent2>
        <a:srgbClr val="96C3B4"/>
      </a:accent2>
      <a:accent3>
        <a:srgbClr val="FAAF14"/>
      </a:accent3>
      <a:accent4>
        <a:srgbClr val="BD4475"/>
      </a:accent4>
      <a:accent5>
        <a:srgbClr val="009187"/>
      </a:accent5>
      <a:accent6>
        <a:srgbClr val="619BBE"/>
      </a:accent6>
      <a:hlink>
        <a:srgbClr val="373C78"/>
      </a:hlink>
      <a:folHlink>
        <a:srgbClr val="BD4475"/>
      </a:folHlink>
    </a:clrScheme>
    <a:fontScheme name="RenOnBill">
      <a:majorFont>
        <a:latin typeface="ITC Avant Garde Std Bk"/>
        <a:ea typeface=""/>
        <a:cs typeface=""/>
      </a:majorFont>
      <a:minorFont>
        <a:latin typeface="ITC Avant Garde Std B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15B4-20B8-45FA-95C1-5D128E37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8703</Characters>
  <Application>Microsoft Office Word</Application>
  <DocSecurity>0</DocSecurity>
  <Lines>72</Lines>
  <Paragraphs>20</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Fata</dc:creator>
  <cp:lastModifiedBy>Sophia Stock - adelphi</cp:lastModifiedBy>
  <cp:revision>173</cp:revision>
  <cp:lastPrinted>2020-06-29T13:51:00Z</cp:lastPrinted>
  <dcterms:created xsi:type="dcterms:W3CDTF">2020-05-06T11:39:00Z</dcterms:created>
  <dcterms:modified xsi:type="dcterms:W3CDTF">2020-07-09T07:59:00Z</dcterms:modified>
</cp:coreProperties>
</file>