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AD591" w14:textId="77777777" w:rsidR="001E0AC2" w:rsidRDefault="005A5087" w:rsidP="00DD1570">
      <w:pPr>
        <w:pStyle w:val="Titel"/>
      </w:pPr>
      <w:r>
        <w:rPr>
          <w:noProof/>
          <w:lang w:val="de-DE" w:eastAsia="de-DE"/>
        </w:rPr>
        <w:drawing>
          <wp:anchor distT="0" distB="0" distL="114300" distR="114300" simplePos="0" relativeHeight="251653120" behindDoc="0" locked="0" layoutInCell="1" allowOverlap="1" wp14:anchorId="365CF797" wp14:editId="11E13B7F">
            <wp:simplePos x="0" y="0"/>
            <wp:positionH relativeFrom="margin">
              <wp:align>center</wp:align>
            </wp:positionH>
            <wp:positionV relativeFrom="paragraph">
              <wp:posOffset>0</wp:posOffset>
            </wp:positionV>
            <wp:extent cx="3106420" cy="1614170"/>
            <wp:effectExtent l="0" t="0" r="0" b="5080"/>
            <wp:wrapSquare wrapText="bothSides"/>
            <wp:docPr id="6" name="Picture 6" descr="A picture containing clip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ONBILL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420" cy="1614170"/>
                    </a:xfrm>
                    <a:prstGeom prst="rect">
                      <a:avLst/>
                    </a:prstGeom>
                  </pic:spPr>
                </pic:pic>
              </a:graphicData>
            </a:graphic>
            <wp14:sizeRelH relativeFrom="margin">
              <wp14:pctWidth>0</wp14:pctWidth>
            </wp14:sizeRelH>
            <wp14:sizeRelV relativeFrom="margin">
              <wp14:pctHeight>0</wp14:pctHeight>
            </wp14:sizeRelV>
          </wp:anchor>
        </w:drawing>
      </w:r>
    </w:p>
    <w:p w14:paraId="2BA57103" w14:textId="77777777" w:rsidR="001E0AC2" w:rsidRDefault="001E0AC2" w:rsidP="00DD1570">
      <w:pPr>
        <w:pStyle w:val="Titel"/>
      </w:pPr>
    </w:p>
    <w:p w14:paraId="4CFD6F1E" w14:textId="77777777" w:rsidR="00DC1ADA" w:rsidRDefault="00DC1ADA" w:rsidP="00DD1570">
      <w:pPr>
        <w:pStyle w:val="Titel"/>
      </w:pPr>
    </w:p>
    <w:p w14:paraId="25EE248E" w14:textId="77777777" w:rsidR="00DC1ADA" w:rsidRDefault="00DC1ADA" w:rsidP="00DD1570">
      <w:pPr>
        <w:pStyle w:val="Titel"/>
      </w:pPr>
    </w:p>
    <w:p w14:paraId="7AE6548D" w14:textId="77777777" w:rsidR="00DC1ADA" w:rsidRDefault="00DC1ADA" w:rsidP="00DD1570">
      <w:pPr>
        <w:pStyle w:val="Titel"/>
      </w:pPr>
    </w:p>
    <w:p w14:paraId="162FE974" w14:textId="712EDB70" w:rsidR="001E0AC2" w:rsidRDefault="00FB3464" w:rsidP="00DD1570">
      <w:pPr>
        <w:pStyle w:val="Titel"/>
        <w:rPr>
          <w:sz w:val="44"/>
        </w:rPr>
      </w:pPr>
      <w:r>
        <w:rPr>
          <w:sz w:val="44"/>
        </w:rPr>
        <w:t>National prototyping workshops</w:t>
      </w:r>
    </w:p>
    <w:p w14:paraId="7AA7D701" w14:textId="674DD073" w:rsidR="00FB3464" w:rsidRPr="00FB3464" w:rsidRDefault="00FB3464" w:rsidP="00FB3464">
      <w:pPr>
        <w:jc w:val="center"/>
        <w:rPr>
          <w:b/>
          <w:sz w:val="36"/>
          <w:lang w:val="en-US" w:eastAsia="fr-BE"/>
        </w:rPr>
      </w:pPr>
      <w:r w:rsidRPr="00FB3464">
        <w:rPr>
          <w:b/>
          <w:sz w:val="36"/>
          <w:lang w:val="en-US" w:eastAsia="fr-BE"/>
        </w:rPr>
        <w:t xml:space="preserve">Insights from </w:t>
      </w:r>
      <w:r w:rsidR="004575B4">
        <w:rPr>
          <w:b/>
          <w:sz w:val="36"/>
          <w:lang w:val="en-US" w:eastAsia="fr-BE"/>
        </w:rPr>
        <w:t>Italy</w:t>
      </w:r>
    </w:p>
    <w:p w14:paraId="7F26BB9F" w14:textId="354B3357" w:rsidR="00FB3464" w:rsidRDefault="005B774E" w:rsidP="00FB3464">
      <w:pPr>
        <w:jc w:val="center"/>
        <w:rPr>
          <w:sz w:val="28"/>
          <w:lang w:val="en-US" w:eastAsia="fr-BE"/>
        </w:rPr>
      </w:pPr>
      <w:r w:rsidRPr="005B774E">
        <w:rPr>
          <w:rFonts w:eastAsia="Times New Roman" w:cstheme="majorBidi"/>
          <w:b/>
          <w:bCs/>
          <w:noProof/>
          <w:spacing w:val="5"/>
          <w:kern w:val="28"/>
          <w:sz w:val="52"/>
          <w:szCs w:val="52"/>
          <w:lang w:val="de-DE" w:eastAsia="de-DE"/>
        </w:rPr>
        <w:drawing>
          <wp:anchor distT="0" distB="0" distL="114300" distR="114300" simplePos="0" relativeHeight="251667456" behindDoc="0" locked="0" layoutInCell="1" allowOverlap="1" wp14:anchorId="4184037C" wp14:editId="6BE01000">
            <wp:simplePos x="0" y="0"/>
            <wp:positionH relativeFrom="margin">
              <wp:align>center</wp:align>
            </wp:positionH>
            <wp:positionV relativeFrom="paragraph">
              <wp:posOffset>489585</wp:posOffset>
            </wp:positionV>
            <wp:extent cx="4817745" cy="3111500"/>
            <wp:effectExtent l="19050" t="19050" r="20955" b="12700"/>
            <wp:wrapTopAndBottom/>
            <wp:docPr id="1" name="Picture Placeholder 5">
              <a:extLst xmlns:a="http://schemas.openxmlformats.org/drawingml/2006/main">
                <a:ext uri="{FF2B5EF4-FFF2-40B4-BE49-F238E27FC236}">
                  <a16:creationId xmlns:a16="http://schemas.microsoft.com/office/drawing/2014/main" id="{4AE2A810-7C8C-474F-BC9C-E099B93A0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laceholder 5">
                      <a:extLst>
                        <a:ext uri="{FF2B5EF4-FFF2-40B4-BE49-F238E27FC236}">
                          <a16:creationId xmlns:a16="http://schemas.microsoft.com/office/drawing/2014/main" id="{4AE2A810-7C8C-474F-BC9C-E099B93A06AB}"/>
                        </a:ext>
                      </a:extLst>
                    </pic:cNvPr>
                    <pic:cNvPicPr>
                      <a:picLocks noChangeAspect="1"/>
                    </pic:cNvPicPr>
                  </pic:nvPicPr>
                  <pic:blipFill rotWithShape="1">
                    <a:blip r:embed="rId9">
                      <a:extLst>
                        <a:ext uri="{28A0092B-C50C-407E-A947-70E740481C1C}">
                          <a14:useLocalDpi xmlns:a14="http://schemas.microsoft.com/office/drawing/2010/main" val="0"/>
                        </a:ext>
                      </a:extLst>
                    </a:blip>
                    <a:srcRect t="24349" b="1860"/>
                    <a:stretch/>
                  </pic:blipFill>
                  <pic:spPr>
                    <a:xfrm>
                      <a:off x="0" y="0"/>
                      <a:ext cx="4817745" cy="3111500"/>
                    </a:xfrm>
                    <a:prstGeom prst="rect">
                      <a:avLst/>
                    </a:prstGeom>
                    <a:ln>
                      <a:solidFill>
                        <a:srgbClr val="373C78"/>
                      </a:solidFill>
                    </a:ln>
                  </pic:spPr>
                </pic:pic>
              </a:graphicData>
            </a:graphic>
            <wp14:sizeRelH relativeFrom="margin">
              <wp14:pctWidth>0</wp14:pctWidth>
            </wp14:sizeRelH>
            <wp14:sizeRelV relativeFrom="margin">
              <wp14:pctHeight>0</wp14:pctHeight>
            </wp14:sizeRelV>
          </wp:anchor>
        </w:drawing>
      </w:r>
      <w:r w:rsidR="004575B4">
        <w:rPr>
          <w:sz w:val="28"/>
          <w:lang w:val="en-US" w:eastAsia="fr-BE"/>
        </w:rPr>
        <w:t>7</w:t>
      </w:r>
      <w:r w:rsidR="00FB3464">
        <w:rPr>
          <w:sz w:val="28"/>
          <w:lang w:val="en-US" w:eastAsia="fr-BE"/>
        </w:rPr>
        <w:t xml:space="preserve"> April 2020 | Online</w:t>
      </w:r>
    </w:p>
    <w:p w14:paraId="3CC08DB2" w14:textId="28577CE7" w:rsidR="005B774E" w:rsidRDefault="005B774E" w:rsidP="00FE7764">
      <w:pPr>
        <w:rPr>
          <w:lang w:val="en-US"/>
        </w:rPr>
      </w:pPr>
    </w:p>
    <w:p w14:paraId="43BD5577" w14:textId="0C16BA99" w:rsidR="005B774E" w:rsidRPr="006E7182" w:rsidRDefault="005B774E" w:rsidP="00FE7764">
      <w:r>
        <w:rPr>
          <w:noProof/>
          <w:lang w:val="de-DE" w:eastAsia="de-DE"/>
        </w:rPr>
        <mc:AlternateContent>
          <mc:Choice Requires="wpg">
            <w:drawing>
              <wp:anchor distT="0" distB="0" distL="114300" distR="114300" simplePos="0" relativeHeight="251666432" behindDoc="0" locked="0" layoutInCell="1" allowOverlap="1" wp14:anchorId="3852988C" wp14:editId="5E0B9D54">
                <wp:simplePos x="0" y="0"/>
                <wp:positionH relativeFrom="margin">
                  <wp:align>center</wp:align>
                </wp:positionH>
                <wp:positionV relativeFrom="paragraph">
                  <wp:posOffset>949960</wp:posOffset>
                </wp:positionV>
                <wp:extent cx="5890285" cy="976299"/>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890285" cy="976299"/>
                          <a:chOff x="0" y="0"/>
                          <a:chExt cx="5890285" cy="976299"/>
                        </a:xfrm>
                      </wpg:grpSpPr>
                      <wps:wsp>
                        <wps:cNvPr id="217" name="Text Box 2"/>
                        <wps:cNvSpPr txBox="1">
                          <a:spLocks noChangeArrowheads="1"/>
                        </wps:cNvSpPr>
                        <wps:spPr bwMode="auto">
                          <a:xfrm>
                            <a:off x="1066191" y="31420"/>
                            <a:ext cx="4824094" cy="944879"/>
                          </a:xfrm>
                          <a:prstGeom prst="rect">
                            <a:avLst/>
                          </a:prstGeom>
                          <a:solidFill>
                            <a:srgbClr val="FFFFFF"/>
                          </a:solidFill>
                          <a:ln w="9525">
                            <a:noFill/>
                            <a:miter lim="800000"/>
                            <a:headEnd/>
                            <a:tailEnd/>
                          </a:ln>
                        </wps:spPr>
                        <wps:txbx>
                          <w:txbxContent>
                            <w:p w14:paraId="664CB9F9" w14:textId="77777777" w:rsidR="008B2643" w:rsidRPr="00567E55" w:rsidRDefault="008B2643" w:rsidP="008B2643">
                              <w:pPr>
                                <w:jc w:val="left"/>
                                <w:rPr>
                                  <w:sz w:val="18"/>
                                  <w:szCs w:val="20"/>
                                </w:rPr>
                              </w:pPr>
                              <w:r w:rsidRPr="00567E55">
                                <w:rPr>
                                  <w:szCs w:val="20"/>
                                </w:rPr>
                                <w:t>This project has received funding from the European Union’s Horizon 2020 research and innovation programme under grant agreement No 847056.</w:t>
                              </w:r>
                            </w:p>
                            <w:p w14:paraId="28877B65" w14:textId="77777777" w:rsidR="008B2643" w:rsidRDefault="008B2643" w:rsidP="008B2643"/>
                          </w:txbxContent>
                        </wps:txbx>
                        <wps:bodyPr rot="0" vert="horz" wrap="square" lIns="91440" tIns="45720" rIns="91440" bIns="45720" anchor="b" anchorCtr="0">
                          <a:spAutoFit/>
                        </wps:bodyPr>
                      </wps:wsp>
                      <pic:pic xmlns:pic="http://schemas.openxmlformats.org/drawingml/2006/picture">
                        <pic:nvPicPr>
                          <pic:cNvPr id="7" name="Picture 7" descr="C:\Users\Cosmina\Desktop\Cos\Exceed\Visual identity\templates\flag_yellow_high.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645" cy="561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52988C" id="Group 4" o:spid="_x0000_s1026" style="position:absolute;left:0;text-align:left;margin-left:0;margin-top:74.8pt;width:463.8pt;height:76.85pt;z-index:251666432;mso-position-horizontal:center;mso-position-horizontal-relative:margin;mso-width-relative:margin;mso-height-relative:margin" coordsize="58902,9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">
                <v:shapetype id="_x0000_t202" coordsize="21600,21600" o:spt="202" path="m,l,21600r21600,l21600,xe">
                  <v:stroke joinstyle="miter"/>
                  <v:path gradientshapeok="t" o:connecttype="rect"/>
                </v:shapetype>
                <v:shape id="Text Box 2" o:spid="_x0000_s1027" type="#_x0000_t202" style="position:absolute;left:10661;top:314;width:48241;height:94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" stroked="f">
                  <v:textbox style="mso-fit-shape-to-text:t">
                    <w:txbxContent>
                      <w:p w14:paraId="664CB9F9" w14:textId="77777777" w:rsidR="008B2643" w:rsidRPr="00567E55" w:rsidRDefault="008B2643" w:rsidP="008B2643">
                        <w:pPr>
                          <w:jc w:val="left"/>
                          <w:rPr>
                            <w:sz w:val="18"/>
                            <w:szCs w:val="20"/>
                          </w:rPr>
                        </w:pPr>
                        <w:r w:rsidRPr="00567E55">
                          <w:rPr>
                            <w:szCs w:val="20"/>
                          </w:rPr>
                          <w:t>This project has received funding from the European Union’s Horizon 2020 research and innovation programme under grant agreement No 847056.</w:t>
                        </w:r>
                      </w:p>
                      <w:p w14:paraId="28877B65" w14:textId="77777777" w:rsidR="008B2643" w:rsidRDefault="008B2643" w:rsidP="008B264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8426;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">
                  <v:imagedata r:id="rId11" o:title="flag_yellow_high"/>
                  <v:path arrowok="t"/>
                </v:shape>
                <w10:wrap type="square" anchorx="margin"/>
              </v:group>
            </w:pict>
          </mc:Fallback>
        </mc:AlternateContent>
      </w:r>
    </w:p>
    <w:p w14:paraId="7A26E22B" w14:textId="0A0119CA" w:rsidR="00E63A5E" w:rsidRDefault="00E63A5E" w:rsidP="00FB3464">
      <w:pPr>
        <w:pStyle w:val="berschrift1"/>
        <w:numPr>
          <w:ilvl w:val="0"/>
          <w:numId w:val="0"/>
        </w:numPr>
      </w:pPr>
      <w:bookmarkStart w:id="0" w:name="_Toc44337402"/>
      <w:r>
        <w:lastRenderedPageBreak/>
        <w:t>Target market</w:t>
      </w:r>
      <w:r w:rsidR="00F50A5D">
        <w:t xml:space="preserve"> segments</w:t>
      </w:r>
      <w:r>
        <w:t xml:space="preserve"> for O</w:t>
      </w:r>
      <w:r w:rsidR="00FB3464">
        <w:t>n-bill schemes</w:t>
      </w:r>
      <w:bookmarkEnd w:id="0"/>
    </w:p>
    <w:p w14:paraId="3BF69A3A" w14:textId="77777777" w:rsidR="004575B4" w:rsidRPr="004575B4" w:rsidRDefault="004575B4" w:rsidP="004575B4">
      <w:pPr>
        <w:rPr>
          <w:iCs/>
          <w:sz w:val="22"/>
        </w:rPr>
      </w:pPr>
      <w:r w:rsidRPr="004575B4">
        <w:rPr>
          <w:sz w:val="22"/>
        </w:rPr>
        <w:t xml:space="preserve">During the prototyping workshop in Italy, participants discussed two potential market segments for on-bill schemes, namely owner-occupied multi-family buildings and rented-out social housing buildings. </w:t>
      </w:r>
      <w:r w:rsidRPr="004575B4">
        <w:rPr>
          <w:iCs/>
          <w:sz w:val="22"/>
        </w:rPr>
        <w:t xml:space="preserve">The choice </w:t>
      </w:r>
      <w:proofErr w:type="gramStart"/>
      <w:r w:rsidRPr="004575B4">
        <w:rPr>
          <w:iCs/>
          <w:sz w:val="22"/>
        </w:rPr>
        <w:t>was made</w:t>
      </w:r>
      <w:proofErr w:type="gramEnd"/>
      <w:r w:rsidRPr="004575B4">
        <w:rPr>
          <w:iCs/>
          <w:sz w:val="22"/>
        </w:rPr>
        <w:t xml:space="preserve"> considering the scale of the market segments and the different socio-economic status of the end users. </w:t>
      </w:r>
    </w:p>
    <w:p w14:paraId="7E8781ED" w14:textId="77777777" w:rsidR="004575B4" w:rsidRPr="004575B4" w:rsidRDefault="004575B4" w:rsidP="004575B4">
      <w:pPr>
        <w:spacing w:after="120"/>
        <w:rPr>
          <w:iCs/>
          <w:sz w:val="22"/>
        </w:rPr>
      </w:pPr>
      <w:r w:rsidRPr="004575B4">
        <w:rPr>
          <w:b/>
          <w:iCs/>
          <w:sz w:val="22"/>
        </w:rPr>
        <w:t>Multifamily buildings</w:t>
      </w:r>
      <w:r w:rsidRPr="004575B4">
        <w:rPr>
          <w:iCs/>
          <w:sz w:val="22"/>
        </w:rPr>
        <w:t xml:space="preserve"> represent the vast majority of residential houses In Italy, and dwellings are for their vast majority </w:t>
      </w:r>
      <w:r w:rsidRPr="004575B4">
        <w:rPr>
          <w:b/>
          <w:iCs/>
          <w:sz w:val="22"/>
        </w:rPr>
        <w:t>owner-occupied</w:t>
      </w:r>
      <w:r w:rsidRPr="004575B4">
        <w:rPr>
          <w:iCs/>
          <w:sz w:val="22"/>
        </w:rPr>
        <w:t xml:space="preserve">. Workshop participants saw medium-high income owners as the most likely adopters of energy renovation interventions </w:t>
      </w:r>
      <w:proofErr w:type="gramStart"/>
      <w:r w:rsidRPr="004575B4">
        <w:rPr>
          <w:iCs/>
          <w:sz w:val="22"/>
        </w:rPr>
        <w:t>due to</w:t>
      </w:r>
      <w:proofErr w:type="gramEnd"/>
      <w:r w:rsidRPr="004575B4">
        <w:rPr>
          <w:iCs/>
          <w:sz w:val="22"/>
        </w:rPr>
        <w:t xml:space="preserve">: </w:t>
      </w:r>
    </w:p>
    <w:p w14:paraId="2F905FA7" w14:textId="77777777" w:rsidR="004575B4" w:rsidRPr="004575B4" w:rsidRDefault="004575B4" w:rsidP="004575B4">
      <w:pPr>
        <w:pStyle w:val="Listenabsatz"/>
        <w:numPr>
          <w:ilvl w:val="0"/>
          <w:numId w:val="4"/>
        </w:numPr>
        <w:ind w:left="714" w:hanging="357"/>
        <w:contextualSpacing w:val="0"/>
        <w:rPr>
          <w:iCs/>
          <w:sz w:val="22"/>
        </w:rPr>
      </w:pPr>
      <w:r w:rsidRPr="004575B4">
        <w:rPr>
          <w:iCs/>
          <w:sz w:val="22"/>
        </w:rPr>
        <w:t xml:space="preserve">Their higher disposable income; </w:t>
      </w:r>
    </w:p>
    <w:p w14:paraId="50B25B90" w14:textId="77777777" w:rsidR="004575B4" w:rsidRPr="004575B4" w:rsidRDefault="004575B4" w:rsidP="004575B4">
      <w:pPr>
        <w:pStyle w:val="Listenabsatz"/>
        <w:numPr>
          <w:ilvl w:val="0"/>
          <w:numId w:val="4"/>
        </w:numPr>
        <w:rPr>
          <w:iCs/>
          <w:sz w:val="22"/>
        </w:rPr>
      </w:pPr>
      <w:r w:rsidRPr="004575B4">
        <w:rPr>
          <w:iCs/>
          <w:sz w:val="22"/>
        </w:rPr>
        <w:t xml:space="preserve">The rather high probability of living in inefficient buildings (considering the average low efficiency of buildings In Italy); </w:t>
      </w:r>
    </w:p>
    <w:p w14:paraId="656F919B" w14:textId="77777777" w:rsidR="004575B4" w:rsidRPr="004575B4" w:rsidRDefault="004575B4" w:rsidP="004575B4">
      <w:pPr>
        <w:pStyle w:val="Listenabsatz"/>
        <w:numPr>
          <w:ilvl w:val="0"/>
          <w:numId w:val="4"/>
        </w:numPr>
        <w:rPr>
          <w:iCs/>
          <w:sz w:val="22"/>
        </w:rPr>
      </w:pPr>
      <w:r w:rsidRPr="004575B4">
        <w:rPr>
          <w:iCs/>
          <w:sz w:val="22"/>
        </w:rPr>
        <w:t>Their likely higher sensitivity to environmental issues; and</w:t>
      </w:r>
    </w:p>
    <w:p w14:paraId="0431CF8A" w14:textId="77777777" w:rsidR="004575B4" w:rsidRPr="004575B4" w:rsidRDefault="004575B4" w:rsidP="004575B4">
      <w:pPr>
        <w:pStyle w:val="Listenabsatz"/>
        <w:numPr>
          <w:ilvl w:val="0"/>
          <w:numId w:val="4"/>
        </w:numPr>
        <w:rPr>
          <w:iCs/>
          <w:sz w:val="22"/>
        </w:rPr>
      </w:pPr>
      <w:r w:rsidRPr="004575B4">
        <w:rPr>
          <w:iCs/>
          <w:sz w:val="22"/>
        </w:rPr>
        <w:t>The possibility that these people view energy efficiency interventions as a status symbol.</w:t>
      </w:r>
    </w:p>
    <w:p w14:paraId="05F387A6" w14:textId="77777777" w:rsidR="004575B4" w:rsidRPr="004575B4" w:rsidRDefault="004575B4" w:rsidP="004575B4">
      <w:pPr>
        <w:spacing w:before="240" w:after="120"/>
        <w:rPr>
          <w:iCs/>
          <w:sz w:val="22"/>
        </w:rPr>
      </w:pPr>
      <w:r w:rsidRPr="004575B4">
        <w:rPr>
          <w:b/>
          <w:iCs/>
          <w:sz w:val="22"/>
        </w:rPr>
        <w:t>Social housing</w:t>
      </w:r>
      <w:r w:rsidRPr="004575B4">
        <w:rPr>
          <w:iCs/>
          <w:sz w:val="22"/>
        </w:rPr>
        <w:t xml:space="preserve"> has been chosen as a potential market segment for on-bill schemes in order to address the low-income share of households and due to its potential for large-scale deep renovations. In Italy, most social housing entities </w:t>
      </w:r>
      <w:proofErr w:type="gramStart"/>
      <w:r w:rsidRPr="004575B4">
        <w:rPr>
          <w:iCs/>
          <w:sz w:val="22"/>
        </w:rPr>
        <w:t>are publicly owned</w:t>
      </w:r>
      <w:proofErr w:type="gramEnd"/>
      <w:r w:rsidRPr="004575B4">
        <w:rPr>
          <w:iCs/>
          <w:sz w:val="22"/>
        </w:rPr>
        <w:t xml:space="preserve"> and handle a huge amount of buildings. Therefore, this segment can be very effective both in delivering deep renovations on a large scale and in promoting a widespread adoption of energy renovation measures throughout the country. The impact of energy renovation interventions in the social housing sector could be felt both from an environmental and economic point of view. </w:t>
      </w:r>
      <w:proofErr w:type="gramStart"/>
      <w:r w:rsidRPr="004575B4">
        <w:rPr>
          <w:iCs/>
          <w:sz w:val="22"/>
        </w:rPr>
        <w:t>Also</w:t>
      </w:r>
      <w:proofErr w:type="gramEnd"/>
      <w:r w:rsidRPr="004575B4">
        <w:rPr>
          <w:iCs/>
          <w:sz w:val="22"/>
        </w:rPr>
        <w:t>, energy renovations in the social housing sector can have a significant impact in terms of communication and marketing due to the visual result they can theoretically have on entire blocks/districts, which can trigger word of mouth and an imitation effect. Eventually, the rise of public demand for a measure, as often happens, could lead to widespread adoption of the same measure in the private sector.</w:t>
      </w:r>
    </w:p>
    <w:p w14:paraId="67470D42" w14:textId="77777777" w:rsidR="004575B4" w:rsidRPr="004575B4" w:rsidRDefault="004575B4" w:rsidP="004575B4"/>
    <w:p w14:paraId="30E5704B" w14:textId="5B253050" w:rsidR="004575B4" w:rsidRPr="00447D89" w:rsidRDefault="00447D89" w:rsidP="00447D89">
      <w:pPr>
        <w:rPr>
          <w:b/>
          <w:sz w:val="32"/>
          <w:szCs w:val="32"/>
        </w:rPr>
      </w:pPr>
      <w:bookmarkStart w:id="1" w:name="_Toc44337403"/>
      <w:r w:rsidRPr="00447D89">
        <w:rPr>
          <w:b/>
          <w:sz w:val="32"/>
          <w:szCs w:val="32"/>
        </w:rPr>
        <w:t>ON-BILL PROTOTYPE</w:t>
      </w:r>
    </w:p>
    <w:p w14:paraId="4F151AAC" w14:textId="77777777" w:rsidR="004575B4" w:rsidRPr="004575B4" w:rsidRDefault="004575B4" w:rsidP="004575B4">
      <w:pPr>
        <w:rPr>
          <w:sz w:val="22"/>
        </w:rPr>
      </w:pPr>
      <w:r w:rsidRPr="004575B4">
        <w:rPr>
          <w:sz w:val="22"/>
        </w:rPr>
        <w:t xml:space="preserve">During the prototyping phase, the workshop participants </w:t>
      </w:r>
      <w:proofErr w:type="gramStart"/>
      <w:r w:rsidRPr="004575B4">
        <w:rPr>
          <w:sz w:val="22"/>
        </w:rPr>
        <w:t>were split</w:t>
      </w:r>
      <w:proofErr w:type="gramEnd"/>
      <w:r w:rsidRPr="004575B4">
        <w:rPr>
          <w:sz w:val="22"/>
        </w:rPr>
        <w:t xml:space="preserve"> in two groups, each working on one of the two market segments presented above. </w:t>
      </w:r>
    </w:p>
    <w:p w14:paraId="77AD0E59" w14:textId="77777777" w:rsidR="004575B4" w:rsidRPr="004575B4" w:rsidRDefault="004575B4" w:rsidP="004575B4">
      <w:pPr>
        <w:rPr>
          <w:sz w:val="22"/>
          <w:u w:val="single"/>
        </w:rPr>
      </w:pPr>
      <w:r w:rsidRPr="004575B4">
        <w:rPr>
          <w:sz w:val="22"/>
          <w:u w:val="single"/>
        </w:rPr>
        <w:t xml:space="preserve">Owner-occupied multifamily buildings </w:t>
      </w:r>
    </w:p>
    <w:p w14:paraId="450C72AE" w14:textId="77777777" w:rsidR="004575B4" w:rsidRPr="004575B4" w:rsidRDefault="004575B4" w:rsidP="004575B4">
      <w:pPr>
        <w:spacing w:after="120"/>
        <w:rPr>
          <w:sz w:val="22"/>
        </w:rPr>
      </w:pPr>
      <w:r w:rsidRPr="004575B4">
        <w:rPr>
          <w:sz w:val="22"/>
        </w:rPr>
        <w:t xml:space="preserve">For the segment “owner-occupied multi-family buildings”, workshop participants proposed an </w:t>
      </w:r>
      <w:r w:rsidRPr="004575B4">
        <w:rPr>
          <w:b/>
          <w:sz w:val="22"/>
        </w:rPr>
        <w:t>on-bill repayment (OBR) scheme</w:t>
      </w:r>
      <w:r w:rsidRPr="004575B4">
        <w:rPr>
          <w:sz w:val="22"/>
        </w:rPr>
        <w:t xml:space="preserve"> with the following characteristics: </w:t>
      </w:r>
    </w:p>
    <w:p w14:paraId="09984AEA" w14:textId="77777777" w:rsidR="004575B4" w:rsidRPr="004575B4" w:rsidRDefault="004575B4" w:rsidP="004575B4">
      <w:pPr>
        <w:spacing w:after="120"/>
        <w:rPr>
          <w:sz w:val="22"/>
        </w:rPr>
      </w:pPr>
      <w:r w:rsidRPr="004575B4">
        <w:rPr>
          <w:sz w:val="22"/>
        </w:rPr>
        <w:t xml:space="preserve">A third party (likely a financial institution) provides funding for the scheme. Therefore, the utility does not need to provide any up-front capital itself and does not record any debt in its balance sheet. Instead, the </w:t>
      </w:r>
      <w:r w:rsidRPr="004575B4">
        <w:rPr>
          <w:b/>
          <w:sz w:val="22"/>
        </w:rPr>
        <w:t>debt is borne by the end user</w:t>
      </w:r>
      <w:r w:rsidRPr="004575B4">
        <w:rPr>
          <w:sz w:val="22"/>
        </w:rPr>
        <w:t xml:space="preserve">. </w:t>
      </w:r>
    </w:p>
    <w:p w14:paraId="327EB459" w14:textId="77777777" w:rsidR="004575B4" w:rsidRPr="004575B4" w:rsidRDefault="004575B4" w:rsidP="004575B4">
      <w:pPr>
        <w:spacing w:after="120"/>
        <w:rPr>
          <w:sz w:val="22"/>
        </w:rPr>
      </w:pPr>
      <w:r w:rsidRPr="004575B4">
        <w:rPr>
          <w:sz w:val="22"/>
        </w:rPr>
        <w:t xml:space="preserve">The </w:t>
      </w:r>
      <w:r w:rsidRPr="004575B4">
        <w:rPr>
          <w:b/>
          <w:sz w:val="22"/>
        </w:rPr>
        <w:t>utility’s main role</w:t>
      </w:r>
      <w:r w:rsidRPr="004575B4">
        <w:rPr>
          <w:sz w:val="22"/>
        </w:rPr>
        <w:t xml:space="preserve"> </w:t>
      </w:r>
      <w:r w:rsidRPr="004575B4">
        <w:rPr>
          <w:b/>
          <w:sz w:val="22"/>
        </w:rPr>
        <w:t>is to act as a programme administrator</w:t>
      </w:r>
      <w:r w:rsidRPr="004575B4">
        <w:rPr>
          <w:sz w:val="22"/>
        </w:rPr>
        <w:t>/ paying agent and as the main point of contact for the end user (</w:t>
      </w:r>
      <w:r w:rsidRPr="004575B4">
        <w:rPr>
          <w:b/>
          <w:sz w:val="22"/>
        </w:rPr>
        <w:t>one-stop shop</w:t>
      </w:r>
      <w:r w:rsidRPr="004575B4">
        <w:rPr>
          <w:sz w:val="22"/>
        </w:rPr>
        <w:t xml:space="preserve">). Also, the utility may be responsible of </w:t>
      </w:r>
      <w:r w:rsidRPr="004575B4">
        <w:rPr>
          <w:b/>
          <w:sz w:val="22"/>
        </w:rPr>
        <w:t>project (pre-</w:t>
      </w:r>
      <w:proofErr w:type="gramStart"/>
      <w:r w:rsidRPr="004575B4">
        <w:rPr>
          <w:b/>
          <w:sz w:val="22"/>
        </w:rPr>
        <w:t>)selection</w:t>
      </w:r>
      <w:proofErr w:type="gramEnd"/>
      <w:r w:rsidRPr="004575B4">
        <w:rPr>
          <w:sz w:val="22"/>
        </w:rPr>
        <w:t xml:space="preserve"> with the financial agent having the last word before signing off the investment. </w:t>
      </w:r>
    </w:p>
    <w:p w14:paraId="41D97CCB" w14:textId="77777777" w:rsidR="004575B4" w:rsidRPr="004575B4" w:rsidRDefault="004575B4" w:rsidP="004575B4">
      <w:pPr>
        <w:spacing w:after="120"/>
        <w:rPr>
          <w:sz w:val="22"/>
        </w:rPr>
      </w:pPr>
      <w:r w:rsidRPr="004575B4">
        <w:rPr>
          <w:sz w:val="22"/>
        </w:rPr>
        <w:lastRenderedPageBreak/>
        <w:t>The proposed scheme involves an entity which materially performs the technical job (i.e. the energy renovation measures), typically an energy service company (</w:t>
      </w:r>
      <w:r w:rsidRPr="004575B4">
        <w:rPr>
          <w:b/>
          <w:sz w:val="22"/>
        </w:rPr>
        <w:t>ESCO</w:t>
      </w:r>
      <w:r w:rsidRPr="004575B4">
        <w:rPr>
          <w:sz w:val="22"/>
        </w:rPr>
        <w:t xml:space="preserve">) or any other </w:t>
      </w:r>
      <w:r w:rsidRPr="004575B4">
        <w:rPr>
          <w:b/>
          <w:sz w:val="22"/>
        </w:rPr>
        <w:t>construction company</w:t>
      </w:r>
      <w:r w:rsidRPr="004575B4">
        <w:rPr>
          <w:sz w:val="22"/>
        </w:rPr>
        <w:t xml:space="preserve">. This entity </w:t>
      </w:r>
      <w:proofErr w:type="gramStart"/>
      <w:r w:rsidRPr="004575B4">
        <w:rPr>
          <w:sz w:val="22"/>
        </w:rPr>
        <w:t>must be chosen</w:t>
      </w:r>
      <w:proofErr w:type="gramEnd"/>
      <w:r w:rsidRPr="004575B4">
        <w:rPr>
          <w:sz w:val="22"/>
        </w:rPr>
        <w:t xml:space="preserve"> by the utility, and needs to be either an in-house company or a company listed in the utility’s roster of suppliers.</w:t>
      </w:r>
    </w:p>
    <w:p w14:paraId="4F955601" w14:textId="77777777" w:rsidR="004575B4" w:rsidRPr="004575B4" w:rsidRDefault="004575B4" w:rsidP="004575B4">
      <w:pPr>
        <w:spacing w:after="120"/>
        <w:rPr>
          <w:sz w:val="22"/>
        </w:rPr>
      </w:pPr>
      <w:r w:rsidRPr="004575B4">
        <w:rPr>
          <w:sz w:val="22"/>
        </w:rPr>
        <w:t xml:space="preserve">Even if the debt is borne by the end user, the latter does not receive money from the financing third party, but benefits in form of the energy renovation performed on his/her property. The </w:t>
      </w:r>
      <w:r w:rsidRPr="004575B4">
        <w:rPr>
          <w:b/>
          <w:sz w:val="22"/>
        </w:rPr>
        <w:t xml:space="preserve">money coming from the financing third party </w:t>
      </w:r>
      <w:proofErr w:type="gramStart"/>
      <w:r w:rsidRPr="004575B4">
        <w:rPr>
          <w:b/>
          <w:sz w:val="22"/>
        </w:rPr>
        <w:t>can be channelled</w:t>
      </w:r>
      <w:proofErr w:type="gramEnd"/>
      <w:r w:rsidRPr="004575B4">
        <w:rPr>
          <w:b/>
          <w:sz w:val="22"/>
        </w:rPr>
        <w:t>, alternatively, as follows</w:t>
      </w:r>
      <w:r w:rsidRPr="004575B4">
        <w:rPr>
          <w:sz w:val="22"/>
        </w:rPr>
        <w:t xml:space="preserve">: </w:t>
      </w:r>
    </w:p>
    <w:p w14:paraId="2F115189" w14:textId="77777777" w:rsidR="004575B4" w:rsidRPr="004575B4" w:rsidRDefault="004575B4" w:rsidP="004575B4">
      <w:pPr>
        <w:spacing w:after="120"/>
        <w:rPr>
          <w:sz w:val="22"/>
        </w:rPr>
      </w:pPr>
    </w:p>
    <w:p w14:paraId="4671C132" w14:textId="77777777" w:rsidR="004575B4" w:rsidRPr="004575B4" w:rsidRDefault="004575B4" w:rsidP="004575B4">
      <w:pPr>
        <w:pStyle w:val="Listenabsatz"/>
        <w:numPr>
          <w:ilvl w:val="0"/>
          <w:numId w:val="16"/>
        </w:numPr>
        <w:rPr>
          <w:sz w:val="22"/>
        </w:rPr>
      </w:pPr>
      <w:r w:rsidRPr="004575B4">
        <w:rPr>
          <w:sz w:val="22"/>
        </w:rPr>
        <w:t xml:space="preserve">The </w:t>
      </w:r>
      <w:r w:rsidRPr="004575B4">
        <w:rPr>
          <w:b/>
          <w:sz w:val="22"/>
        </w:rPr>
        <w:t>money is deposited on an</w:t>
      </w:r>
      <w:r w:rsidRPr="004575B4">
        <w:rPr>
          <w:sz w:val="22"/>
        </w:rPr>
        <w:t xml:space="preserve"> </w:t>
      </w:r>
      <w:r w:rsidRPr="004575B4">
        <w:rPr>
          <w:b/>
          <w:sz w:val="22"/>
        </w:rPr>
        <w:t>escrow account</w:t>
      </w:r>
      <w:r w:rsidRPr="004575B4">
        <w:rPr>
          <w:sz w:val="22"/>
        </w:rPr>
        <w:t xml:space="preserve"> </w:t>
      </w:r>
      <w:r w:rsidRPr="004575B4">
        <w:rPr>
          <w:b/>
          <w:sz w:val="22"/>
        </w:rPr>
        <w:t>managed by the utility</w:t>
      </w:r>
      <w:r w:rsidRPr="004575B4">
        <w:rPr>
          <w:sz w:val="22"/>
        </w:rPr>
        <w:t xml:space="preserve">, which oversights the programme. Works can be funded on a work progress basis, either in advance of every step or after completion of the step (upon invoice from </w:t>
      </w:r>
      <w:proofErr w:type="gramStart"/>
      <w:r w:rsidRPr="004575B4">
        <w:rPr>
          <w:sz w:val="22"/>
        </w:rPr>
        <w:t>ESCO/ construction company</w:t>
      </w:r>
      <w:proofErr w:type="gramEnd"/>
      <w:r w:rsidRPr="004575B4">
        <w:rPr>
          <w:sz w:val="22"/>
        </w:rPr>
        <w:t>). In case of payment after completion of the works, the ESCO/ construction company needs to fund the works with its balance sheet. (option A, see below)</w:t>
      </w:r>
    </w:p>
    <w:p w14:paraId="150D7F7F" w14:textId="1FF773DB" w:rsidR="004575B4" w:rsidRDefault="004575B4" w:rsidP="004575B4">
      <w:pPr>
        <w:pStyle w:val="Listenabsatz"/>
        <w:numPr>
          <w:ilvl w:val="0"/>
          <w:numId w:val="0"/>
        </w:numPr>
        <w:ind w:left="720"/>
      </w:pPr>
    </w:p>
    <w:p w14:paraId="73246907" w14:textId="77777777" w:rsidR="00447D89" w:rsidRDefault="00447D89" w:rsidP="004575B4">
      <w:pPr>
        <w:pStyle w:val="Listenabsatz"/>
        <w:numPr>
          <w:ilvl w:val="0"/>
          <w:numId w:val="0"/>
        </w:numPr>
        <w:ind w:left="720"/>
      </w:pPr>
    </w:p>
    <w:p w14:paraId="41E0E6EE" w14:textId="77777777" w:rsidR="004575B4" w:rsidRDefault="004575B4" w:rsidP="004575B4">
      <w:pPr>
        <w:keepNext/>
      </w:pPr>
      <w:r w:rsidRPr="008752CC">
        <w:rPr>
          <w:noProof/>
          <w:lang w:val="de-DE" w:eastAsia="de-DE"/>
        </w:rPr>
        <w:drawing>
          <wp:inline distT="0" distB="0" distL="0" distR="0" wp14:anchorId="6357D7F3" wp14:editId="3C046868">
            <wp:extent cx="5731510" cy="2232025"/>
            <wp:effectExtent l="0" t="0" r="254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232025"/>
                    </a:xfrm>
                    <a:prstGeom prst="rect">
                      <a:avLst/>
                    </a:prstGeom>
                  </pic:spPr>
                </pic:pic>
              </a:graphicData>
            </a:graphic>
          </wp:inline>
        </w:drawing>
      </w:r>
    </w:p>
    <w:p w14:paraId="6C081059" w14:textId="6A17C7E6" w:rsidR="004575B4" w:rsidRDefault="004575B4" w:rsidP="004575B4">
      <w:pPr>
        <w:pStyle w:val="Beschriftung"/>
      </w:pPr>
      <w:bookmarkStart w:id="2" w:name="_Toc42593790"/>
      <w:bookmarkStart w:id="3" w:name="_Toc43224006"/>
      <w:r>
        <w:t>On-bill prototype for the Italian market – option A</w:t>
      </w:r>
      <w:bookmarkEnd w:id="2"/>
      <w:bookmarkEnd w:id="3"/>
    </w:p>
    <w:p w14:paraId="1982FA9D" w14:textId="0D8D0B1B" w:rsidR="00447D89" w:rsidRDefault="00447D89" w:rsidP="00447D89">
      <w:pPr>
        <w:pStyle w:val="Listenabsatz"/>
        <w:numPr>
          <w:ilvl w:val="0"/>
          <w:numId w:val="0"/>
        </w:numPr>
        <w:ind w:left="720"/>
        <w:rPr>
          <w:sz w:val="22"/>
        </w:rPr>
      </w:pPr>
    </w:p>
    <w:p w14:paraId="76EFD50F" w14:textId="57895ED5" w:rsidR="00447D89" w:rsidRDefault="00447D89" w:rsidP="00447D89">
      <w:pPr>
        <w:pStyle w:val="Listenabsatz"/>
        <w:numPr>
          <w:ilvl w:val="0"/>
          <w:numId w:val="0"/>
        </w:numPr>
        <w:ind w:left="720"/>
        <w:rPr>
          <w:sz w:val="22"/>
        </w:rPr>
      </w:pPr>
    </w:p>
    <w:p w14:paraId="4C07F602" w14:textId="21A9CB98" w:rsidR="00447D89" w:rsidRDefault="00447D89" w:rsidP="00447D89">
      <w:pPr>
        <w:pStyle w:val="Listenabsatz"/>
        <w:numPr>
          <w:ilvl w:val="0"/>
          <w:numId w:val="0"/>
        </w:numPr>
        <w:ind w:left="720"/>
        <w:rPr>
          <w:sz w:val="22"/>
        </w:rPr>
      </w:pPr>
    </w:p>
    <w:p w14:paraId="09F45965" w14:textId="50C16946" w:rsidR="00447D89" w:rsidRDefault="00447D89" w:rsidP="00447D89">
      <w:pPr>
        <w:pStyle w:val="Listenabsatz"/>
        <w:numPr>
          <w:ilvl w:val="0"/>
          <w:numId w:val="0"/>
        </w:numPr>
        <w:ind w:left="720"/>
        <w:rPr>
          <w:sz w:val="22"/>
        </w:rPr>
      </w:pPr>
    </w:p>
    <w:p w14:paraId="26F08D81" w14:textId="7ACE8167" w:rsidR="00447D89" w:rsidRDefault="00447D89" w:rsidP="00447D89">
      <w:pPr>
        <w:pStyle w:val="Listenabsatz"/>
        <w:numPr>
          <w:ilvl w:val="0"/>
          <w:numId w:val="0"/>
        </w:numPr>
        <w:ind w:left="720"/>
        <w:rPr>
          <w:sz w:val="22"/>
        </w:rPr>
      </w:pPr>
    </w:p>
    <w:p w14:paraId="5F474786" w14:textId="58C5E4C3" w:rsidR="00447D89" w:rsidRDefault="00447D89" w:rsidP="00447D89">
      <w:pPr>
        <w:pStyle w:val="Listenabsatz"/>
        <w:numPr>
          <w:ilvl w:val="0"/>
          <w:numId w:val="0"/>
        </w:numPr>
        <w:ind w:left="720"/>
        <w:rPr>
          <w:sz w:val="22"/>
        </w:rPr>
      </w:pPr>
    </w:p>
    <w:p w14:paraId="3AE5F990" w14:textId="318AECFF" w:rsidR="00447D89" w:rsidRDefault="00447D89" w:rsidP="00447D89">
      <w:pPr>
        <w:pStyle w:val="Listenabsatz"/>
        <w:numPr>
          <w:ilvl w:val="0"/>
          <w:numId w:val="0"/>
        </w:numPr>
        <w:ind w:left="720"/>
        <w:rPr>
          <w:sz w:val="22"/>
        </w:rPr>
      </w:pPr>
    </w:p>
    <w:p w14:paraId="39B2D29F" w14:textId="1AA1BDEA" w:rsidR="00447D89" w:rsidRDefault="00447D89" w:rsidP="00447D89">
      <w:pPr>
        <w:pStyle w:val="Listenabsatz"/>
        <w:numPr>
          <w:ilvl w:val="0"/>
          <w:numId w:val="0"/>
        </w:numPr>
        <w:ind w:left="720"/>
        <w:rPr>
          <w:sz w:val="22"/>
        </w:rPr>
      </w:pPr>
    </w:p>
    <w:p w14:paraId="49FF8D1A" w14:textId="5B94007A" w:rsidR="00447D89" w:rsidRDefault="00447D89" w:rsidP="00447D89">
      <w:pPr>
        <w:pStyle w:val="Listenabsatz"/>
        <w:numPr>
          <w:ilvl w:val="0"/>
          <w:numId w:val="0"/>
        </w:numPr>
        <w:ind w:left="720"/>
        <w:rPr>
          <w:sz w:val="22"/>
        </w:rPr>
      </w:pPr>
    </w:p>
    <w:p w14:paraId="57E336D7" w14:textId="58173894" w:rsidR="00447D89" w:rsidRDefault="00447D89" w:rsidP="00447D89">
      <w:pPr>
        <w:pStyle w:val="Listenabsatz"/>
        <w:numPr>
          <w:ilvl w:val="0"/>
          <w:numId w:val="0"/>
        </w:numPr>
        <w:ind w:left="720"/>
        <w:rPr>
          <w:sz w:val="22"/>
        </w:rPr>
      </w:pPr>
    </w:p>
    <w:p w14:paraId="0DE26886" w14:textId="70FE196D" w:rsidR="00447D89" w:rsidRDefault="00447D89" w:rsidP="00447D89">
      <w:pPr>
        <w:pStyle w:val="Listenabsatz"/>
        <w:numPr>
          <w:ilvl w:val="0"/>
          <w:numId w:val="0"/>
        </w:numPr>
        <w:ind w:left="720"/>
        <w:rPr>
          <w:sz w:val="22"/>
        </w:rPr>
      </w:pPr>
    </w:p>
    <w:p w14:paraId="5F225944" w14:textId="717ECA54" w:rsidR="00447D89" w:rsidRDefault="00447D89" w:rsidP="00447D89">
      <w:pPr>
        <w:pStyle w:val="Listenabsatz"/>
        <w:numPr>
          <w:ilvl w:val="0"/>
          <w:numId w:val="0"/>
        </w:numPr>
        <w:ind w:left="720"/>
        <w:rPr>
          <w:sz w:val="22"/>
        </w:rPr>
      </w:pPr>
    </w:p>
    <w:p w14:paraId="2824E4DD" w14:textId="6987FD57" w:rsidR="00447D89" w:rsidRDefault="00447D89" w:rsidP="00447D89">
      <w:pPr>
        <w:pStyle w:val="Listenabsatz"/>
        <w:numPr>
          <w:ilvl w:val="0"/>
          <w:numId w:val="0"/>
        </w:numPr>
        <w:ind w:left="720"/>
        <w:rPr>
          <w:sz w:val="22"/>
        </w:rPr>
      </w:pPr>
    </w:p>
    <w:p w14:paraId="210ED297" w14:textId="77777777" w:rsidR="00447D89" w:rsidRDefault="00447D89" w:rsidP="00447D89">
      <w:pPr>
        <w:pStyle w:val="Listenabsatz"/>
        <w:numPr>
          <w:ilvl w:val="0"/>
          <w:numId w:val="0"/>
        </w:numPr>
        <w:ind w:left="720"/>
        <w:rPr>
          <w:sz w:val="22"/>
        </w:rPr>
      </w:pPr>
    </w:p>
    <w:p w14:paraId="7C97BD00" w14:textId="16B42F30" w:rsidR="004575B4" w:rsidRPr="004575B4" w:rsidRDefault="004575B4" w:rsidP="004575B4">
      <w:pPr>
        <w:pStyle w:val="Listenabsatz"/>
        <w:numPr>
          <w:ilvl w:val="0"/>
          <w:numId w:val="16"/>
        </w:numPr>
        <w:rPr>
          <w:sz w:val="22"/>
        </w:rPr>
      </w:pPr>
      <w:r w:rsidRPr="004575B4">
        <w:rPr>
          <w:sz w:val="22"/>
        </w:rPr>
        <w:lastRenderedPageBreak/>
        <w:t xml:space="preserve">The </w:t>
      </w:r>
      <w:r w:rsidRPr="004575B4">
        <w:rPr>
          <w:b/>
          <w:sz w:val="22"/>
        </w:rPr>
        <w:t xml:space="preserve">financing third party retains the money and directly pays the ESCO/ </w:t>
      </w:r>
      <w:proofErr w:type="gramStart"/>
      <w:r w:rsidRPr="004575B4">
        <w:rPr>
          <w:b/>
          <w:sz w:val="22"/>
        </w:rPr>
        <w:t>construction company</w:t>
      </w:r>
      <w:proofErr w:type="gramEnd"/>
      <w:r w:rsidRPr="004575B4">
        <w:rPr>
          <w:sz w:val="22"/>
        </w:rPr>
        <w:t xml:space="preserve"> upon invoice. The utility oversights the process. (option B, see below)</w:t>
      </w:r>
    </w:p>
    <w:p w14:paraId="643AAE12" w14:textId="77777777" w:rsidR="004575B4" w:rsidRDefault="004575B4" w:rsidP="004575B4">
      <w:pPr>
        <w:pStyle w:val="Listenabsatz"/>
        <w:numPr>
          <w:ilvl w:val="0"/>
          <w:numId w:val="0"/>
        </w:numPr>
        <w:ind w:left="720"/>
      </w:pPr>
    </w:p>
    <w:p w14:paraId="3A34D928" w14:textId="77777777" w:rsidR="004575B4" w:rsidRDefault="004575B4" w:rsidP="004575B4">
      <w:pPr>
        <w:keepNext/>
      </w:pPr>
      <w:r w:rsidRPr="008752CC">
        <w:rPr>
          <w:noProof/>
          <w:lang w:val="de-DE" w:eastAsia="de-DE"/>
        </w:rPr>
        <w:drawing>
          <wp:inline distT="0" distB="0" distL="0" distR="0" wp14:anchorId="1026438A" wp14:editId="26F9ABDF">
            <wp:extent cx="5553710" cy="2608262"/>
            <wp:effectExtent l="0" t="0" r="0" b="190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4336" cy="2613253"/>
                    </a:xfrm>
                    <a:prstGeom prst="rect">
                      <a:avLst/>
                    </a:prstGeom>
                  </pic:spPr>
                </pic:pic>
              </a:graphicData>
            </a:graphic>
          </wp:inline>
        </w:drawing>
      </w:r>
    </w:p>
    <w:p w14:paraId="187BAD99" w14:textId="6D844651" w:rsidR="004575B4" w:rsidRDefault="004575B4" w:rsidP="004575B4">
      <w:pPr>
        <w:pStyle w:val="Beschriftung"/>
      </w:pPr>
      <w:bookmarkStart w:id="4" w:name="_Toc42593791"/>
      <w:bookmarkStart w:id="5" w:name="_Toc43224007"/>
      <w:r>
        <w:t>On-bill prototype for the Italian market – option B</w:t>
      </w:r>
      <w:bookmarkEnd w:id="4"/>
      <w:bookmarkEnd w:id="5"/>
    </w:p>
    <w:p w14:paraId="5DA30D22" w14:textId="77777777" w:rsidR="004575B4" w:rsidRPr="004575B4" w:rsidRDefault="004575B4" w:rsidP="004575B4">
      <w:pPr>
        <w:spacing w:after="120"/>
        <w:rPr>
          <w:sz w:val="22"/>
        </w:rPr>
      </w:pPr>
      <w:r w:rsidRPr="004575B4">
        <w:rPr>
          <w:sz w:val="22"/>
        </w:rPr>
        <w:t xml:space="preserve">In both cases, the </w:t>
      </w:r>
      <w:proofErr w:type="gramStart"/>
      <w:r w:rsidRPr="004575B4">
        <w:rPr>
          <w:b/>
          <w:sz w:val="22"/>
        </w:rPr>
        <w:t>intervention is repaid by the end user through the energy bill</w:t>
      </w:r>
      <w:proofErr w:type="gramEnd"/>
      <w:r w:rsidRPr="004575B4">
        <w:rPr>
          <w:sz w:val="22"/>
        </w:rPr>
        <w:t xml:space="preserve">. The utility acts as a paying agent, and money received flows through an escrow account, segregated from the utility assets. Payments received by the utility </w:t>
      </w:r>
      <w:proofErr w:type="gramStart"/>
      <w:r w:rsidRPr="004575B4">
        <w:rPr>
          <w:sz w:val="22"/>
        </w:rPr>
        <w:t>are automatically transferred</w:t>
      </w:r>
      <w:proofErr w:type="gramEnd"/>
      <w:r w:rsidRPr="004575B4">
        <w:rPr>
          <w:sz w:val="22"/>
        </w:rPr>
        <w:t xml:space="preserve"> to the financing third party. The exact terms of this set-up may need to </w:t>
      </w:r>
      <w:proofErr w:type="gramStart"/>
      <w:r w:rsidRPr="004575B4">
        <w:rPr>
          <w:sz w:val="22"/>
        </w:rPr>
        <w:t>be written down</w:t>
      </w:r>
      <w:proofErr w:type="gramEnd"/>
      <w:r w:rsidRPr="004575B4">
        <w:rPr>
          <w:sz w:val="22"/>
        </w:rPr>
        <w:t xml:space="preserve"> in a multilateral agreement involving at least the end user, the utility, and the financing entity.  </w:t>
      </w:r>
    </w:p>
    <w:p w14:paraId="3750985D" w14:textId="77777777" w:rsidR="004575B4" w:rsidRPr="004575B4" w:rsidRDefault="004575B4" w:rsidP="004575B4">
      <w:pPr>
        <w:rPr>
          <w:sz w:val="22"/>
          <w:u w:val="single"/>
        </w:rPr>
      </w:pPr>
      <w:r w:rsidRPr="004575B4">
        <w:rPr>
          <w:sz w:val="22"/>
          <w:u w:val="single"/>
        </w:rPr>
        <w:t>Social housing entities</w:t>
      </w:r>
    </w:p>
    <w:p w14:paraId="29F202AD" w14:textId="77777777" w:rsidR="004575B4" w:rsidRPr="004575B4" w:rsidRDefault="004575B4" w:rsidP="004575B4">
      <w:pPr>
        <w:spacing w:after="120"/>
        <w:rPr>
          <w:sz w:val="22"/>
        </w:rPr>
      </w:pPr>
      <w:r w:rsidRPr="004575B4">
        <w:rPr>
          <w:sz w:val="22"/>
        </w:rPr>
        <w:t xml:space="preserve">Workshop participants identified two segments within the Italian social housing market: </w:t>
      </w:r>
    </w:p>
    <w:p w14:paraId="445D66FD" w14:textId="77777777" w:rsidR="004575B4" w:rsidRPr="004575B4" w:rsidRDefault="004575B4" w:rsidP="004575B4">
      <w:pPr>
        <w:pStyle w:val="Listenabsatz"/>
        <w:numPr>
          <w:ilvl w:val="0"/>
          <w:numId w:val="3"/>
        </w:numPr>
        <w:rPr>
          <w:sz w:val="22"/>
        </w:rPr>
      </w:pPr>
      <w:r w:rsidRPr="004575B4">
        <w:rPr>
          <w:sz w:val="22"/>
        </w:rPr>
        <w:t>The social housing entity owns 100% of the property building, and the heating system is centralised;</w:t>
      </w:r>
    </w:p>
    <w:p w14:paraId="4E44BDF8" w14:textId="77777777" w:rsidR="004575B4" w:rsidRPr="004575B4" w:rsidRDefault="004575B4" w:rsidP="004575B4">
      <w:pPr>
        <w:pStyle w:val="Listenabsatz"/>
        <w:numPr>
          <w:ilvl w:val="0"/>
          <w:numId w:val="3"/>
        </w:numPr>
        <w:rPr>
          <w:sz w:val="22"/>
        </w:rPr>
      </w:pPr>
      <w:r w:rsidRPr="004575B4">
        <w:rPr>
          <w:sz w:val="22"/>
        </w:rPr>
        <w:t>The social housing entity owns less than 100% of the property building.</w:t>
      </w:r>
    </w:p>
    <w:p w14:paraId="3E38A690" w14:textId="77777777" w:rsidR="004575B4" w:rsidRPr="004575B4" w:rsidRDefault="004575B4" w:rsidP="004575B4">
      <w:pPr>
        <w:spacing w:after="120"/>
        <w:rPr>
          <w:sz w:val="22"/>
        </w:rPr>
      </w:pPr>
      <w:r w:rsidRPr="004575B4">
        <w:rPr>
          <w:sz w:val="22"/>
        </w:rPr>
        <w:t xml:space="preserve">In the </w:t>
      </w:r>
      <w:r w:rsidRPr="004575B4">
        <w:rPr>
          <w:b/>
          <w:sz w:val="22"/>
        </w:rPr>
        <w:t>first segment (100% ownership)</w:t>
      </w:r>
      <w:r w:rsidRPr="004575B4">
        <w:rPr>
          <w:sz w:val="22"/>
        </w:rPr>
        <w:t>, an OBS, in which the repayment of the intervention is made through the centralised heating system's utility bill, does not seem to be the most efficient way of financing an energy renovation. In fact, the bill is paid by the social housing entity, which recovers the sums paid to the utility by claiming repayment from each of the renters, pro quota, based on the consumption recorded on the relevant individual (sub</w:t>
      </w:r>
      <w:proofErr w:type="gramStart"/>
      <w:r w:rsidRPr="004575B4">
        <w:rPr>
          <w:sz w:val="22"/>
        </w:rPr>
        <w:t>)meter</w:t>
      </w:r>
      <w:proofErr w:type="gramEnd"/>
      <w:r w:rsidRPr="004575B4">
        <w:rPr>
          <w:sz w:val="22"/>
        </w:rPr>
        <w:t xml:space="preserve">. </w:t>
      </w:r>
    </w:p>
    <w:p w14:paraId="1E5AC97E" w14:textId="77777777" w:rsidR="004575B4" w:rsidRPr="004575B4" w:rsidRDefault="004575B4" w:rsidP="004575B4">
      <w:pPr>
        <w:spacing w:after="120"/>
        <w:rPr>
          <w:sz w:val="22"/>
        </w:rPr>
      </w:pPr>
      <w:r w:rsidRPr="004575B4">
        <w:rPr>
          <w:sz w:val="22"/>
        </w:rPr>
        <w:t xml:space="preserve">Given the average scale of a social housing entity (which is remarkable in Italy), the energy renovation process can be easily directly managed by the entity itself, with no involvement required from the utility with respect to the financing-repayment side of the intervention. The social housing entity can in fact manage the works (and the repayment, e.g. by raising rent fees) either by financing them directly, or by resorting to a financing third party (e.g. a bank and/or public funds), and directly managing such relationship. It is also noteworthy that several social housing entities in Italy own in-house ESCOs. </w:t>
      </w:r>
    </w:p>
    <w:p w14:paraId="1BF09ED3" w14:textId="77777777" w:rsidR="004575B4" w:rsidRPr="004575B4" w:rsidRDefault="004575B4" w:rsidP="004575B4">
      <w:pPr>
        <w:spacing w:after="120"/>
        <w:rPr>
          <w:sz w:val="22"/>
        </w:rPr>
      </w:pPr>
      <w:r w:rsidRPr="004575B4">
        <w:rPr>
          <w:sz w:val="22"/>
        </w:rPr>
        <w:lastRenderedPageBreak/>
        <w:t xml:space="preserve">In the </w:t>
      </w:r>
      <w:r w:rsidRPr="004575B4">
        <w:rPr>
          <w:b/>
          <w:sz w:val="22"/>
        </w:rPr>
        <w:t>second segment (less than 100% ownership)</w:t>
      </w:r>
      <w:r w:rsidRPr="004575B4">
        <w:rPr>
          <w:sz w:val="22"/>
        </w:rPr>
        <w:t xml:space="preserve">, an on-bill scheme can be a useful mechanism to promote energy renovation. In this case, the OBS would follow the same path as the OBR described for owner-occupied multi-family buildings (see above), especially if the social housing entity’s ownership share is low. </w:t>
      </w:r>
    </w:p>
    <w:p w14:paraId="7909B308" w14:textId="77777777" w:rsidR="004575B4" w:rsidRPr="004575B4" w:rsidRDefault="004575B4" w:rsidP="004575B4">
      <w:pPr>
        <w:spacing w:after="120"/>
        <w:rPr>
          <w:sz w:val="22"/>
        </w:rPr>
      </w:pPr>
      <w:r w:rsidRPr="004575B4">
        <w:rPr>
          <w:sz w:val="22"/>
        </w:rPr>
        <w:t xml:space="preserve">On the other side, workshop participants highlighted that the higher the share of ownership by the social housing entity (which, as mentioned, is typically a public entity in Italy), the easier it is to access financing from a third party (e.g. a bank) for the energy renovation process. It was agreed that public ownership </w:t>
      </w:r>
      <w:proofErr w:type="gramStart"/>
      <w:r w:rsidRPr="004575B4">
        <w:rPr>
          <w:sz w:val="22"/>
        </w:rPr>
        <w:t>can</w:t>
      </w:r>
      <w:proofErr w:type="gramEnd"/>
      <w:r w:rsidRPr="004575B4">
        <w:rPr>
          <w:sz w:val="22"/>
        </w:rPr>
        <w:t xml:space="preserve"> be an effective risk </w:t>
      </w:r>
      <w:proofErr w:type="spellStart"/>
      <w:r w:rsidRPr="004575B4">
        <w:rPr>
          <w:sz w:val="22"/>
        </w:rPr>
        <w:t>mitigant</w:t>
      </w:r>
      <w:proofErr w:type="spellEnd"/>
      <w:r w:rsidRPr="004575B4">
        <w:rPr>
          <w:sz w:val="22"/>
        </w:rPr>
        <w:t xml:space="preserve"> for the financing third party.</w:t>
      </w:r>
    </w:p>
    <w:p w14:paraId="04262475" w14:textId="77777777" w:rsidR="004575B4" w:rsidRPr="004575B4" w:rsidRDefault="004575B4" w:rsidP="004575B4">
      <w:pPr>
        <w:rPr>
          <w:sz w:val="22"/>
        </w:rPr>
      </w:pPr>
      <w:r w:rsidRPr="004575B4">
        <w:rPr>
          <w:sz w:val="22"/>
        </w:rPr>
        <w:t>Having said all that, given the structure of the social housing entities and their operation, a scheme similar to an OBS can be conceived in case of high ownership's share of the building (up to the case of 100% ownership). That is, a scheme in which the social housing entity substantially replaces the utility as a programme administrator and, therefore, manages the whole process (in case of in-house ESCOs, it also performs the works). After the intervention, the social housing entity can claim repayment through the rental fee (for the renters) and through the financing entity's periodical payment request (for the remaining individual owners).</w:t>
      </w:r>
    </w:p>
    <w:p w14:paraId="46515B5E" w14:textId="77777777" w:rsidR="004575B4" w:rsidRPr="004575B4" w:rsidRDefault="004575B4" w:rsidP="004575B4">
      <w:pPr>
        <w:rPr>
          <w:sz w:val="22"/>
        </w:rPr>
      </w:pPr>
      <w:r w:rsidRPr="004575B4">
        <w:rPr>
          <w:sz w:val="22"/>
        </w:rPr>
        <w:t xml:space="preserve">The figure below summarises the potential of on-bill schemes for the social housing sector in Italy. </w:t>
      </w:r>
    </w:p>
    <w:tbl>
      <w:tblPr>
        <w:tblStyle w:val="Tabellenraster"/>
        <w:tblW w:w="0" w:type="auto"/>
        <w:tblLook w:val="04A0" w:firstRow="1" w:lastRow="0" w:firstColumn="1" w:lastColumn="0" w:noHBand="0" w:noVBand="1"/>
      </w:tblPr>
      <w:tblGrid>
        <w:gridCol w:w="4508"/>
        <w:gridCol w:w="4508"/>
      </w:tblGrid>
      <w:tr w:rsidR="004575B4" w:rsidRPr="004575B4" w14:paraId="20CC8755" w14:textId="77777777" w:rsidTr="006A3473">
        <w:tc>
          <w:tcPr>
            <w:tcW w:w="9016" w:type="dxa"/>
            <w:gridSpan w:val="2"/>
            <w:shd w:val="clear" w:color="auto" w:fill="D1D2EA" w:themeFill="accent1" w:themeFillTint="33"/>
          </w:tcPr>
          <w:p w14:paraId="3A2B0E33" w14:textId="77777777" w:rsidR="004575B4" w:rsidRPr="004575B4" w:rsidRDefault="004575B4" w:rsidP="006A3473">
            <w:pPr>
              <w:spacing w:after="120"/>
              <w:jc w:val="center"/>
              <w:rPr>
                <w:b/>
                <w:sz w:val="22"/>
              </w:rPr>
            </w:pPr>
            <w:r w:rsidRPr="004575B4">
              <w:rPr>
                <w:b/>
                <w:sz w:val="22"/>
              </w:rPr>
              <w:t xml:space="preserve">The </w:t>
            </w:r>
            <w:r w:rsidRPr="004575B4">
              <w:rPr>
                <w:b/>
                <w:sz w:val="22"/>
                <w:shd w:val="clear" w:color="auto" w:fill="D1D2EA" w:themeFill="accent1" w:themeFillTint="33"/>
              </w:rPr>
              <w:t>potential of on-bill schemes for social</w:t>
            </w:r>
            <w:r w:rsidRPr="004575B4">
              <w:rPr>
                <w:b/>
                <w:sz w:val="22"/>
              </w:rPr>
              <w:t xml:space="preserve"> housing in Italy</w:t>
            </w:r>
          </w:p>
        </w:tc>
      </w:tr>
      <w:tr w:rsidR="004575B4" w:rsidRPr="004575B4" w14:paraId="2B79C14E" w14:textId="77777777" w:rsidTr="006A3473">
        <w:tc>
          <w:tcPr>
            <w:tcW w:w="4508" w:type="dxa"/>
          </w:tcPr>
          <w:p w14:paraId="61708252" w14:textId="77777777" w:rsidR="004575B4" w:rsidRPr="004575B4" w:rsidRDefault="004575B4" w:rsidP="006A3473">
            <w:pPr>
              <w:rPr>
                <w:sz w:val="22"/>
              </w:rPr>
            </w:pPr>
            <w:r w:rsidRPr="004575B4">
              <w:rPr>
                <w:sz w:val="22"/>
              </w:rPr>
              <w:t xml:space="preserve">Case (1) </w:t>
            </w:r>
          </w:p>
          <w:p w14:paraId="344477B4" w14:textId="77777777" w:rsidR="004575B4" w:rsidRPr="004575B4" w:rsidRDefault="004575B4" w:rsidP="006A3473">
            <w:pPr>
              <w:pStyle w:val="Listenabsatz"/>
              <w:numPr>
                <w:ilvl w:val="0"/>
                <w:numId w:val="17"/>
              </w:numPr>
              <w:rPr>
                <w:sz w:val="22"/>
              </w:rPr>
            </w:pPr>
            <w:r w:rsidRPr="004575B4">
              <w:rPr>
                <w:sz w:val="22"/>
              </w:rPr>
              <w:t>Social housing entity owns 100% of the building</w:t>
            </w:r>
          </w:p>
          <w:p w14:paraId="41B10E28" w14:textId="77777777" w:rsidR="004575B4" w:rsidRPr="004575B4" w:rsidRDefault="004575B4" w:rsidP="006A3473">
            <w:pPr>
              <w:pStyle w:val="Listenabsatz"/>
              <w:numPr>
                <w:ilvl w:val="0"/>
                <w:numId w:val="17"/>
              </w:numPr>
              <w:rPr>
                <w:sz w:val="22"/>
              </w:rPr>
            </w:pPr>
            <w:r w:rsidRPr="004575B4">
              <w:rPr>
                <w:sz w:val="22"/>
              </w:rPr>
              <w:t xml:space="preserve">Centralised heating system </w:t>
            </w:r>
          </w:p>
          <w:p w14:paraId="4078DF3C" w14:textId="77777777" w:rsidR="004575B4" w:rsidRPr="004575B4" w:rsidRDefault="004575B4" w:rsidP="006A3473">
            <w:pPr>
              <w:rPr>
                <w:sz w:val="22"/>
              </w:rPr>
            </w:pPr>
          </w:p>
          <w:p w14:paraId="7818DE4E" w14:textId="77777777" w:rsidR="004575B4" w:rsidRPr="004575B4" w:rsidRDefault="004575B4" w:rsidP="006A3473">
            <w:pPr>
              <w:pStyle w:val="Listenabsatz"/>
              <w:numPr>
                <w:ilvl w:val="0"/>
                <w:numId w:val="19"/>
              </w:numPr>
              <w:rPr>
                <w:sz w:val="22"/>
              </w:rPr>
            </w:pPr>
            <w:r w:rsidRPr="004575B4">
              <w:rPr>
                <w:sz w:val="22"/>
              </w:rPr>
              <w:t>On-bill scheme seems irrelevant since the social housing entity itself can manage the energy renovation process and finance it (or at least arrange the financing through a third party capital provider).</w:t>
            </w:r>
          </w:p>
        </w:tc>
        <w:tc>
          <w:tcPr>
            <w:tcW w:w="4508" w:type="dxa"/>
          </w:tcPr>
          <w:p w14:paraId="6D154A8C" w14:textId="77777777" w:rsidR="004575B4" w:rsidRPr="004575B4" w:rsidRDefault="004575B4" w:rsidP="006A3473">
            <w:pPr>
              <w:rPr>
                <w:sz w:val="22"/>
              </w:rPr>
            </w:pPr>
            <w:r w:rsidRPr="004575B4">
              <w:rPr>
                <w:sz w:val="22"/>
              </w:rPr>
              <w:t>Case (2)</w:t>
            </w:r>
          </w:p>
          <w:p w14:paraId="64D9D292" w14:textId="77777777" w:rsidR="004575B4" w:rsidRPr="004575B4" w:rsidRDefault="004575B4" w:rsidP="006A3473">
            <w:pPr>
              <w:pStyle w:val="Listenabsatz"/>
              <w:numPr>
                <w:ilvl w:val="0"/>
                <w:numId w:val="18"/>
              </w:numPr>
              <w:rPr>
                <w:sz w:val="22"/>
              </w:rPr>
            </w:pPr>
            <w:r w:rsidRPr="004575B4">
              <w:rPr>
                <w:sz w:val="22"/>
              </w:rPr>
              <w:t xml:space="preserve">Social housing entity owns </w:t>
            </w:r>
            <w:r w:rsidRPr="004575B4">
              <w:rPr>
                <w:sz w:val="22"/>
                <w:u w:val="single"/>
              </w:rPr>
              <w:t>less</w:t>
            </w:r>
            <w:r w:rsidRPr="004575B4">
              <w:rPr>
                <w:sz w:val="22"/>
              </w:rPr>
              <w:t xml:space="preserve"> than 100% of the building</w:t>
            </w:r>
          </w:p>
          <w:p w14:paraId="137012AB" w14:textId="77777777" w:rsidR="004575B4" w:rsidRPr="004575B4" w:rsidRDefault="004575B4" w:rsidP="006A3473">
            <w:pPr>
              <w:pStyle w:val="Listenabsatz"/>
              <w:numPr>
                <w:ilvl w:val="0"/>
                <w:numId w:val="0"/>
              </w:numPr>
              <w:ind w:left="720"/>
              <w:rPr>
                <w:sz w:val="22"/>
              </w:rPr>
            </w:pPr>
          </w:p>
          <w:p w14:paraId="4D88E59D" w14:textId="77777777" w:rsidR="004575B4" w:rsidRPr="004575B4" w:rsidRDefault="004575B4" w:rsidP="006A3473">
            <w:pPr>
              <w:rPr>
                <w:sz w:val="22"/>
              </w:rPr>
            </w:pPr>
          </w:p>
          <w:p w14:paraId="17DD9A6B" w14:textId="77777777" w:rsidR="004575B4" w:rsidRPr="004575B4" w:rsidRDefault="004575B4" w:rsidP="006A3473">
            <w:pPr>
              <w:pStyle w:val="Listenabsatz"/>
              <w:keepNext/>
              <w:numPr>
                <w:ilvl w:val="0"/>
                <w:numId w:val="19"/>
              </w:numPr>
              <w:rPr>
                <w:sz w:val="22"/>
              </w:rPr>
            </w:pPr>
            <w:r w:rsidRPr="004575B4">
              <w:rPr>
                <w:sz w:val="22"/>
              </w:rPr>
              <w:t>On-bill scheme can be a useful mechanism for energy renovation</w:t>
            </w:r>
          </w:p>
        </w:tc>
      </w:tr>
    </w:tbl>
    <w:p w14:paraId="61896EC9" w14:textId="6EFC3B3F" w:rsidR="004575B4" w:rsidRPr="004575B4" w:rsidRDefault="004575B4" w:rsidP="004575B4">
      <w:pPr>
        <w:rPr>
          <w:sz w:val="22"/>
        </w:rPr>
      </w:pPr>
      <w:r w:rsidRPr="004575B4">
        <w:rPr>
          <w:sz w:val="22"/>
        </w:rPr>
        <w:t xml:space="preserve">During the prototyping workshop in Italy, participants discussed a variety of </w:t>
      </w:r>
      <w:proofErr w:type="gramStart"/>
      <w:r w:rsidRPr="004575B4">
        <w:rPr>
          <w:sz w:val="22"/>
        </w:rPr>
        <w:t>cross-cutting</w:t>
      </w:r>
      <w:proofErr w:type="gramEnd"/>
      <w:r w:rsidRPr="004575B4">
        <w:rPr>
          <w:sz w:val="22"/>
        </w:rPr>
        <w:t xml:space="preserve"> issues that affect the eventual introduction of on-bill schemes on the Italian market. The issues under consideration included: </w:t>
      </w:r>
    </w:p>
    <w:p w14:paraId="706C0C74" w14:textId="77777777" w:rsidR="004575B4" w:rsidRPr="004575B4" w:rsidRDefault="004575B4" w:rsidP="004575B4">
      <w:pPr>
        <w:pStyle w:val="Listenabsatz"/>
        <w:numPr>
          <w:ilvl w:val="0"/>
          <w:numId w:val="18"/>
        </w:numPr>
        <w:spacing w:after="120" w:line="240" w:lineRule="auto"/>
        <w:rPr>
          <w:sz w:val="22"/>
        </w:rPr>
      </w:pPr>
      <w:r w:rsidRPr="004575B4">
        <w:rPr>
          <w:sz w:val="22"/>
        </w:rPr>
        <w:t>Technical risk</w:t>
      </w:r>
    </w:p>
    <w:p w14:paraId="7C26AC82" w14:textId="77777777" w:rsidR="004575B4" w:rsidRPr="004575B4" w:rsidRDefault="004575B4" w:rsidP="004575B4">
      <w:pPr>
        <w:pStyle w:val="Listenabsatz"/>
        <w:numPr>
          <w:ilvl w:val="0"/>
          <w:numId w:val="18"/>
        </w:numPr>
        <w:spacing w:after="120" w:line="240" w:lineRule="auto"/>
        <w:rPr>
          <w:sz w:val="22"/>
        </w:rPr>
      </w:pPr>
      <w:r w:rsidRPr="004575B4">
        <w:rPr>
          <w:sz w:val="22"/>
        </w:rPr>
        <w:t>Financial risk</w:t>
      </w:r>
    </w:p>
    <w:p w14:paraId="72B4E67E" w14:textId="77777777" w:rsidR="004575B4" w:rsidRPr="004575B4" w:rsidRDefault="004575B4" w:rsidP="004575B4">
      <w:pPr>
        <w:pStyle w:val="Listenabsatz"/>
        <w:numPr>
          <w:ilvl w:val="0"/>
          <w:numId w:val="18"/>
        </w:numPr>
        <w:spacing w:after="120" w:line="240" w:lineRule="auto"/>
        <w:rPr>
          <w:sz w:val="22"/>
        </w:rPr>
      </w:pPr>
      <w:r w:rsidRPr="004575B4">
        <w:rPr>
          <w:sz w:val="22"/>
        </w:rPr>
        <w:t>Disconnection</w:t>
      </w:r>
    </w:p>
    <w:p w14:paraId="20FB65F0" w14:textId="77777777" w:rsidR="004575B4" w:rsidRPr="004575B4" w:rsidRDefault="004575B4" w:rsidP="004575B4">
      <w:pPr>
        <w:pStyle w:val="Listenabsatz"/>
        <w:numPr>
          <w:ilvl w:val="0"/>
          <w:numId w:val="18"/>
        </w:numPr>
        <w:spacing w:after="120" w:line="240" w:lineRule="auto"/>
        <w:rPr>
          <w:sz w:val="22"/>
        </w:rPr>
      </w:pPr>
      <w:r w:rsidRPr="004575B4">
        <w:rPr>
          <w:sz w:val="22"/>
        </w:rPr>
        <w:t>Transfer of payment obligation</w:t>
      </w:r>
    </w:p>
    <w:p w14:paraId="67826CE5" w14:textId="77777777" w:rsidR="004575B4" w:rsidRPr="004575B4" w:rsidRDefault="004575B4" w:rsidP="004575B4">
      <w:pPr>
        <w:pStyle w:val="Listenabsatz"/>
        <w:numPr>
          <w:ilvl w:val="0"/>
          <w:numId w:val="18"/>
        </w:numPr>
        <w:spacing w:after="120" w:line="240" w:lineRule="auto"/>
        <w:rPr>
          <w:sz w:val="22"/>
        </w:rPr>
      </w:pPr>
      <w:r w:rsidRPr="004575B4">
        <w:rPr>
          <w:sz w:val="22"/>
        </w:rPr>
        <w:t>Condominium</w:t>
      </w:r>
    </w:p>
    <w:p w14:paraId="11987CB0" w14:textId="77777777" w:rsidR="004575B4" w:rsidRPr="004575B4" w:rsidRDefault="004575B4" w:rsidP="004575B4">
      <w:pPr>
        <w:pStyle w:val="Listenabsatz"/>
        <w:numPr>
          <w:ilvl w:val="0"/>
          <w:numId w:val="18"/>
        </w:numPr>
        <w:spacing w:after="120" w:line="240" w:lineRule="auto"/>
        <w:rPr>
          <w:sz w:val="22"/>
        </w:rPr>
      </w:pPr>
      <w:r w:rsidRPr="004575B4">
        <w:rPr>
          <w:sz w:val="22"/>
        </w:rPr>
        <w:t xml:space="preserve">Market and value chain </w:t>
      </w:r>
    </w:p>
    <w:p w14:paraId="2F03E48F" w14:textId="77777777" w:rsidR="004575B4" w:rsidRPr="004575B4" w:rsidRDefault="004575B4" w:rsidP="004575B4">
      <w:pPr>
        <w:rPr>
          <w:sz w:val="22"/>
          <w:u w:val="single"/>
        </w:rPr>
      </w:pPr>
      <w:r w:rsidRPr="004575B4">
        <w:rPr>
          <w:sz w:val="22"/>
          <w:u w:val="single"/>
        </w:rPr>
        <w:t xml:space="preserve">Technical risk </w:t>
      </w:r>
    </w:p>
    <w:p w14:paraId="4364095B" w14:textId="77777777" w:rsidR="004575B4" w:rsidRPr="004575B4" w:rsidRDefault="004575B4" w:rsidP="004575B4">
      <w:pPr>
        <w:spacing w:after="120"/>
        <w:rPr>
          <w:sz w:val="22"/>
        </w:rPr>
      </w:pPr>
      <w:r w:rsidRPr="004575B4">
        <w:rPr>
          <w:sz w:val="22"/>
        </w:rPr>
        <w:t xml:space="preserve">Workshop participants agreed that technical risk is an important element of any potential on-bill scheme, because it affects the financial (credit) risk. If the performance of the intervention (in terms of energy savings achieved) is significantly worse than envisaged, the monetary savings are </w:t>
      </w:r>
      <w:r w:rsidRPr="004575B4">
        <w:rPr>
          <w:sz w:val="22"/>
        </w:rPr>
        <w:lastRenderedPageBreak/>
        <w:t xml:space="preserve">consequently reduced (assuming invariance of the price per unit of energy) and therefore the ability of the end user to repay the financing </w:t>
      </w:r>
      <w:proofErr w:type="gramStart"/>
      <w:r w:rsidRPr="004575B4">
        <w:rPr>
          <w:sz w:val="22"/>
        </w:rPr>
        <w:t>is affected</w:t>
      </w:r>
      <w:proofErr w:type="gramEnd"/>
      <w:r w:rsidRPr="004575B4">
        <w:rPr>
          <w:sz w:val="22"/>
        </w:rPr>
        <w:t xml:space="preserve">. One participant argued that such kind of technical risk </w:t>
      </w:r>
      <w:proofErr w:type="gramStart"/>
      <w:r w:rsidRPr="004575B4">
        <w:rPr>
          <w:sz w:val="22"/>
        </w:rPr>
        <w:t>may</w:t>
      </w:r>
      <w:proofErr w:type="gramEnd"/>
      <w:r w:rsidRPr="004575B4">
        <w:rPr>
          <w:sz w:val="22"/>
        </w:rPr>
        <w:t xml:space="preserve"> be hedged by means of an insurance, even if normally at a quite high premium.  </w:t>
      </w:r>
    </w:p>
    <w:p w14:paraId="5DFEBF5F" w14:textId="77777777" w:rsidR="004575B4" w:rsidRPr="004575B4" w:rsidRDefault="004575B4" w:rsidP="004575B4">
      <w:pPr>
        <w:rPr>
          <w:sz w:val="22"/>
          <w:u w:val="single"/>
        </w:rPr>
      </w:pPr>
      <w:r w:rsidRPr="004575B4">
        <w:rPr>
          <w:sz w:val="22"/>
          <w:u w:val="single"/>
        </w:rPr>
        <w:t>Financial risk</w:t>
      </w:r>
    </w:p>
    <w:p w14:paraId="110084BE" w14:textId="77777777" w:rsidR="004575B4" w:rsidRPr="004575B4" w:rsidRDefault="004575B4" w:rsidP="004575B4">
      <w:pPr>
        <w:rPr>
          <w:sz w:val="22"/>
        </w:rPr>
      </w:pPr>
      <w:r w:rsidRPr="004575B4">
        <w:rPr>
          <w:sz w:val="22"/>
        </w:rPr>
        <w:t xml:space="preserve">The </w:t>
      </w:r>
      <w:proofErr w:type="gramStart"/>
      <w:r w:rsidRPr="004575B4">
        <w:rPr>
          <w:sz w:val="22"/>
        </w:rPr>
        <w:t>discussion around financial risks was mainly led by the financial agents participating to the workshop</w:t>
      </w:r>
      <w:proofErr w:type="gramEnd"/>
      <w:r w:rsidRPr="004575B4">
        <w:rPr>
          <w:sz w:val="22"/>
        </w:rPr>
        <w:t xml:space="preserve">. They raised the following points:  </w:t>
      </w:r>
    </w:p>
    <w:p w14:paraId="5BF12FB5" w14:textId="77777777" w:rsidR="004575B4" w:rsidRPr="004575B4" w:rsidRDefault="004575B4" w:rsidP="004575B4">
      <w:pPr>
        <w:pStyle w:val="Listenabsatz"/>
        <w:numPr>
          <w:ilvl w:val="0"/>
          <w:numId w:val="20"/>
        </w:numPr>
        <w:rPr>
          <w:sz w:val="22"/>
        </w:rPr>
      </w:pPr>
      <w:r w:rsidRPr="004575B4">
        <w:rPr>
          <w:sz w:val="22"/>
        </w:rPr>
        <w:t xml:space="preserve">Obtaining information from the utility about a potential client’s </w:t>
      </w:r>
      <w:r w:rsidRPr="004575B4">
        <w:rPr>
          <w:b/>
          <w:sz w:val="22"/>
        </w:rPr>
        <w:t xml:space="preserve">bill payment history </w:t>
      </w:r>
      <w:r w:rsidRPr="004575B4">
        <w:rPr>
          <w:sz w:val="22"/>
        </w:rPr>
        <w:t xml:space="preserve">would be a valuable contribution to the financial agent’s credit risk assessment.  </w:t>
      </w:r>
    </w:p>
    <w:p w14:paraId="4EC025EB" w14:textId="77777777" w:rsidR="004575B4" w:rsidRPr="004575B4" w:rsidRDefault="004575B4" w:rsidP="004575B4">
      <w:pPr>
        <w:pStyle w:val="Listenabsatz"/>
        <w:numPr>
          <w:ilvl w:val="0"/>
          <w:numId w:val="20"/>
        </w:numPr>
        <w:rPr>
          <w:sz w:val="22"/>
        </w:rPr>
      </w:pPr>
      <w:r w:rsidRPr="004575B4">
        <w:rPr>
          <w:sz w:val="22"/>
        </w:rPr>
        <w:t xml:space="preserve">The possibility of </w:t>
      </w:r>
      <w:r w:rsidRPr="004575B4">
        <w:rPr>
          <w:b/>
          <w:sz w:val="22"/>
        </w:rPr>
        <w:t>disconnection</w:t>
      </w:r>
      <w:r w:rsidRPr="004575B4">
        <w:rPr>
          <w:sz w:val="22"/>
        </w:rPr>
        <w:t xml:space="preserve">, if legally feasible (see below), could certainly be considered a valuable credit risk </w:t>
      </w:r>
      <w:proofErr w:type="spellStart"/>
      <w:r w:rsidRPr="004575B4">
        <w:rPr>
          <w:sz w:val="22"/>
        </w:rPr>
        <w:t>mitigant</w:t>
      </w:r>
      <w:proofErr w:type="spellEnd"/>
      <w:r w:rsidRPr="004575B4">
        <w:rPr>
          <w:sz w:val="22"/>
        </w:rPr>
        <w:t xml:space="preserve">. </w:t>
      </w:r>
    </w:p>
    <w:p w14:paraId="3C7B892E" w14:textId="77777777" w:rsidR="004575B4" w:rsidRPr="004575B4" w:rsidRDefault="004575B4" w:rsidP="004575B4">
      <w:pPr>
        <w:pStyle w:val="Listenabsatz"/>
        <w:numPr>
          <w:ilvl w:val="0"/>
          <w:numId w:val="20"/>
        </w:numPr>
        <w:rPr>
          <w:sz w:val="22"/>
        </w:rPr>
      </w:pPr>
      <w:r w:rsidRPr="004575B4">
        <w:rPr>
          <w:sz w:val="22"/>
        </w:rPr>
        <w:t xml:space="preserve">The </w:t>
      </w:r>
      <w:r w:rsidRPr="004575B4">
        <w:rPr>
          <w:b/>
          <w:sz w:val="22"/>
        </w:rPr>
        <w:t>credit application</w:t>
      </w:r>
      <w:r w:rsidRPr="004575B4">
        <w:rPr>
          <w:sz w:val="22"/>
        </w:rPr>
        <w:t xml:space="preserve"> could be a very simplified and quick one if the outcome of the project does not deviate too much (in negative) from the "golden rule". That is, all else equal, if the new bill is lower or equal than/to the old bill, obviously the instalment / income ratio is better or equal than/to the previous one, and therefore it is reasonable to assume that a positive history of bill payments is enough to give green light to the credit. Otherwise, the likely scenario is to fall back on ordinary credit risk assessment procedures, </w:t>
      </w:r>
      <w:r w:rsidRPr="004575B4">
        <w:rPr>
          <w:iCs/>
          <w:sz w:val="22"/>
        </w:rPr>
        <w:t>i.e</w:t>
      </w:r>
      <w:r w:rsidRPr="004575B4">
        <w:rPr>
          <w:i/>
          <w:iCs/>
          <w:sz w:val="22"/>
        </w:rPr>
        <w:t>.</w:t>
      </w:r>
      <w:r w:rsidRPr="004575B4">
        <w:rPr>
          <w:sz w:val="22"/>
        </w:rPr>
        <w:t xml:space="preserve"> according to the credit limits granted to officials, branch managers, committees.</w:t>
      </w:r>
    </w:p>
    <w:p w14:paraId="6A4A7742" w14:textId="77777777" w:rsidR="004575B4" w:rsidRPr="004575B4" w:rsidRDefault="004575B4" w:rsidP="004575B4">
      <w:pPr>
        <w:rPr>
          <w:sz w:val="22"/>
        </w:rPr>
      </w:pPr>
      <w:r w:rsidRPr="004575B4">
        <w:rPr>
          <w:sz w:val="22"/>
        </w:rPr>
        <w:t xml:space="preserve">In addition, the representative from the commercial bank drew attention to the following points: </w:t>
      </w:r>
    </w:p>
    <w:p w14:paraId="45CE1F1B" w14:textId="77777777" w:rsidR="004575B4" w:rsidRPr="004575B4" w:rsidRDefault="004575B4" w:rsidP="004575B4">
      <w:pPr>
        <w:pStyle w:val="Listenabsatz"/>
        <w:numPr>
          <w:ilvl w:val="0"/>
          <w:numId w:val="21"/>
        </w:numPr>
        <w:rPr>
          <w:sz w:val="22"/>
        </w:rPr>
      </w:pPr>
      <w:r w:rsidRPr="004575B4">
        <w:rPr>
          <w:sz w:val="22"/>
        </w:rPr>
        <w:t xml:space="preserve">The OBS features (e.g. bill payment history, possibility of disconnection, "golden rule"), can permit the bank not to consider OBS financing as a completely unsecured credit, and therefore speed up the credit application process, even leading to nearly-automatic mechanisms of approval. In general, however, it should be reminded that the bank still grants credit to individuals (the end users), hence when setting up the procedure for dealing with this kind of credits, their </w:t>
      </w:r>
      <w:proofErr w:type="spellStart"/>
      <w:r w:rsidRPr="004575B4">
        <w:rPr>
          <w:i/>
          <w:sz w:val="22"/>
        </w:rPr>
        <w:t>intuitus</w:t>
      </w:r>
      <w:proofErr w:type="spellEnd"/>
      <w:r w:rsidRPr="004575B4">
        <w:rPr>
          <w:i/>
          <w:sz w:val="22"/>
        </w:rPr>
        <w:t xml:space="preserve"> personae</w:t>
      </w:r>
      <w:r w:rsidRPr="004575B4">
        <w:rPr>
          <w:sz w:val="22"/>
        </w:rPr>
        <w:t xml:space="preserve"> nature pushes against the </w:t>
      </w:r>
      <w:proofErr w:type="gramStart"/>
      <w:r w:rsidRPr="004575B4">
        <w:rPr>
          <w:sz w:val="22"/>
        </w:rPr>
        <w:t>above mentioned</w:t>
      </w:r>
      <w:proofErr w:type="gramEnd"/>
      <w:r w:rsidRPr="004575B4">
        <w:rPr>
          <w:sz w:val="22"/>
        </w:rPr>
        <w:t xml:space="preserve"> possible </w:t>
      </w:r>
      <w:proofErr w:type="spellStart"/>
      <w:r w:rsidRPr="004575B4">
        <w:rPr>
          <w:sz w:val="22"/>
        </w:rPr>
        <w:t>automatisation</w:t>
      </w:r>
      <w:proofErr w:type="spellEnd"/>
      <w:r w:rsidRPr="004575B4">
        <w:rPr>
          <w:sz w:val="22"/>
        </w:rPr>
        <w:t xml:space="preserve">. </w:t>
      </w:r>
    </w:p>
    <w:p w14:paraId="0F8C1984" w14:textId="77777777" w:rsidR="004575B4" w:rsidRPr="004575B4" w:rsidRDefault="004575B4" w:rsidP="004575B4">
      <w:pPr>
        <w:pStyle w:val="Listenabsatz"/>
        <w:numPr>
          <w:ilvl w:val="0"/>
          <w:numId w:val="21"/>
        </w:numPr>
        <w:rPr>
          <w:sz w:val="22"/>
        </w:rPr>
      </w:pPr>
      <w:r w:rsidRPr="004575B4">
        <w:rPr>
          <w:sz w:val="22"/>
        </w:rPr>
        <w:t xml:space="preserve">A fiduciary relationship with the utility is always important; </w:t>
      </w:r>
      <w:proofErr w:type="gramStart"/>
      <w:r w:rsidRPr="004575B4">
        <w:rPr>
          <w:sz w:val="22"/>
        </w:rPr>
        <w:t>all the more</w:t>
      </w:r>
      <w:proofErr w:type="gramEnd"/>
      <w:r w:rsidRPr="004575B4">
        <w:rPr>
          <w:sz w:val="22"/>
        </w:rPr>
        <w:t xml:space="preserve"> if the scheme creates (also) a short-term counterparty risk vis-à-vis the utility. In the scheme envisaged, such risk </w:t>
      </w:r>
      <w:proofErr w:type="gramStart"/>
      <w:r w:rsidRPr="004575B4">
        <w:rPr>
          <w:sz w:val="22"/>
        </w:rPr>
        <w:t>could be mitigated</w:t>
      </w:r>
      <w:proofErr w:type="gramEnd"/>
      <w:r w:rsidRPr="004575B4">
        <w:rPr>
          <w:sz w:val="22"/>
        </w:rPr>
        <w:t xml:space="preserve"> by means of an </w:t>
      </w:r>
      <w:r w:rsidRPr="004575B4">
        <w:rPr>
          <w:b/>
          <w:sz w:val="22"/>
        </w:rPr>
        <w:t>escrow account</w:t>
      </w:r>
      <w:r w:rsidRPr="004575B4">
        <w:rPr>
          <w:sz w:val="22"/>
        </w:rPr>
        <w:t xml:space="preserve">. However, the issue needs to </w:t>
      </w:r>
      <w:proofErr w:type="gramStart"/>
      <w:r w:rsidRPr="004575B4">
        <w:rPr>
          <w:sz w:val="22"/>
        </w:rPr>
        <w:t>be carefully studied</w:t>
      </w:r>
      <w:proofErr w:type="gramEnd"/>
      <w:r w:rsidRPr="004575B4">
        <w:rPr>
          <w:sz w:val="22"/>
        </w:rPr>
        <w:t xml:space="preserve"> from a legal point of view.</w:t>
      </w:r>
    </w:p>
    <w:p w14:paraId="0CBB941B" w14:textId="77777777" w:rsidR="004575B4" w:rsidRPr="004575B4" w:rsidRDefault="004575B4" w:rsidP="004575B4">
      <w:pPr>
        <w:pStyle w:val="Listenabsatz"/>
        <w:numPr>
          <w:ilvl w:val="0"/>
          <w:numId w:val="21"/>
        </w:numPr>
        <w:rPr>
          <w:sz w:val="22"/>
        </w:rPr>
      </w:pPr>
      <w:r w:rsidRPr="004575B4">
        <w:rPr>
          <w:sz w:val="22"/>
        </w:rPr>
        <w:t>The OBS appears to be viable and linear from a financial point of view. It seems that, at this stage, the analysis should turn to legal issues.</w:t>
      </w:r>
    </w:p>
    <w:p w14:paraId="132D774D" w14:textId="77777777" w:rsidR="004575B4" w:rsidRPr="004575B4" w:rsidRDefault="004575B4" w:rsidP="004575B4">
      <w:pPr>
        <w:pStyle w:val="Listenabsatz"/>
        <w:numPr>
          <w:ilvl w:val="0"/>
          <w:numId w:val="21"/>
        </w:numPr>
        <w:rPr>
          <w:sz w:val="22"/>
        </w:rPr>
      </w:pPr>
      <w:r w:rsidRPr="004575B4">
        <w:rPr>
          <w:sz w:val="22"/>
        </w:rPr>
        <w:t xml:space="preserve">Any </w:t>
      </w:r>
      <w:r w:rsidRPr="004575B4">
        <w:rPr>
          <w:b/>
          <w:sz w:val="22"/>
        </w:rPr>
        <w:t>public subsidy</w:t>
      </w:r>
      <w:r w:rsidRPr="004575B4">
        <w:rPr>
          <w:sz w:val="22"/>
        </w:rPr>
        <w:t xml:space="preserve"> can improve the financial viability of the OBS. However, unless there is a great deviation from the "golden rule", such support </w:t>
      </w:r>
      <w:proofErr w:type="gramStart"/>
      <w:r w:rsidRPr="004575B4">
        <w:rPr>
          <w:sz w:val="22"/>
        </w:rPr>
        <w:t>may not be needed</w:t>
      </w:r>
      <w:proofErr w:type="gramEnd"/>
      <w:r w:rsidRPr="004575B4">
        <w:rPr>
          <w:sz w:val="22"/>
        </w:rPr>
        <w:t>.</w:t>
      </w:r>
    </w:p>
    <w:p w14:paraId="52466DE2" w14:textId="77777777" w:rsidR="004575B4" w:rsidRPr="004575B4" w:rsidRDefault="004575B4" w:rsidP="004575B4">
      <w:pPr>
        <w:pStyle w:val="Listenabsatz"/>
        <w:numPr>
          <w:ilvl w:val="0"/>
          <w:numId w:val="21"/>
        </w:numPr>
        <w:rPr>
          <w:sz w:val="22"/>
        </w:rPr>
      </w:pPr>
      <w:r w:rsidRPr="004575B4">
        <w:rPr>
          <w:sz w:val="22"/>
        </w:rPr>
        <w:t xml:space="preserve">In choosing between directly financing the utility or the end users, a local bank is likely to lean in </w:t>
      </w:r>
      <w:r w:rsidRPr="004575B4">
        <w:rPr>
          <w:sz w:val="22"/>
          <w:lang w:val="en-US"/>
        </w:rPr>
        <w:t>favor</w:t>
      </w:r>
      <w:r w:rsidRPr="004575B4">
        <w:rPr>
          <w:sz w:val="22"/>
        </w:rPr>
        <w:t xml:space="preserve"> of the latter.</w:t>
      </w:r>
    </w:p>
    <w:p w14:paraId="72F257AE" w14:textId="77777777" w:rsidR="004575B4" w:rsidRPr="004575B4" w:rsidRDefault="004575B4" w:rsidP="004575B4">
      <w:pPr>
        <w:pStyle w:val="Listenabsatz"/>
        <w:numPr>
          <w:ilvl w:val="0"/>
          <w:numId w:val="21"/>
        </w:numPr>
        <w:rPr>
          <w:sz w:val="22"/>
        </w:rPr>
      </w:pPr>
      <w:r w:rsidRPr="004575B4">
        <w:rPr>
          <w:sz w:val="22"/>
        </w:rPr>
        <w:t>If the intervention is on common parts of the building (e.g. entrance hall, steps, corridors, roof, etc.) the bank's counterpart should be the condominium (see below).</w:t>
      </w:r>
    </w:p>
    <w:p w14:paraId="561AB395" w14:textId="77777777" w:rsidR="004575B4" w:rsidRPr="004575B4" w:rsidRDefault="004575B4" w:rsidP="004575B4">
      <w:pPr>
        <w:pStyle w:val="Listenabsatz"/>
        <w:numPr>
          <w:ilvl w:val="0"/>
          <w:numId w:val="0"/>
        </w:numPr>
        <w:ind w:left="720"/>
        <w:rPr>
          <w:sz w:val="22"/>
        </w:rPr>
      </w:pPr>
    </w:p>
    <w:p w14:paraId="59684141" w14:textId="77777777" w:rsidR="004575B4" w:rsidRPr="004575B4" w:rsidRDefault="004575B4" w:rsidP="004575B4">
      <w:pPr>
        <w:rPr>
          <w:sz w:val="22"/>
        </w:rPr>
      </w:pPr>
      <w:r w:rsidRPr="004575B4">
        <w:rPr>
          <w:sz w:val="22"/>
        </w:rPr>
        <w:t xml:space="preserve">Finally, financial agents debated about the provision of a </w:t>
      </w:r>
      <w:r w:rsidRPr="004575B4">
        <w:rPr>
          <w:b/>
          <w:sz w:val="22"/>
        </w:rPr>
        <w:t>financial guarantee</w:t>
      </w:r>
      <w:r w:rsidRPr="004575B4">
        <w:rPr>
          <w:sz w:val="22"/>
        </w:rPr>
        <w:t xml:space="preserve"> as an alternative to the commitment of funded capital from the financing third party. Thereby, the financial agent could limit its interventions and secure the credit granted by the utility to the end user. However, </w:t>
      </w:r>
      <w:r w:rsidRPr="004575B4">
        <w:rPr>
          <w:sz w:val="22"/>
        </w:rPr>
        <w:lastRenderedPageBreak/>
        <w:t xml:space="preserve">this hypothesis is subject to the legal feasibility for the utility of providing credit and to its balance sheet capability of funding the </w:t>
      </w:r>
      <w:proofErr w:type="gramStart"/>
      <w:r w:rsidRPr="004575B4">
        <w:rPr>
          <w:sz w:val="22"/>
        </w:rPr>
        <w:t>intervention</w:t>
      </w:r>
      <w:proofErr w:type="gramEnd"/>
      <w:r w:rsidRPr="004575B4">
        <w:rPr>
          <w:sz w:val="22"/>
        </w:rPr>
        <w:t xml:space="preserve"> (financial resources can be insufficient, especially in case of large-scale interventions). </w:t>
      </w:r>
    </w:p>
    <w:p w14:paraId="0F9C4A8F" w14:textId="77777777" w:rsidR="004575B4" w:rsidRPr="004575B4" w:rsidRDefault="004575B4" w:rsidP="004575B4">
      <w:pPr>
        <w:rPr>
          <w:sz w:val="22"/>
        </w:rPr>
      </w:pPr>
      <w:r w:rsidRPr="004575B4">
        <w:rPr>
          <w:sz w:val="22"/>
        </w:rPr>
        <w:t xml:space="preserve">A </w:t>
      </w:r>
      <w:r w:rsidRPr="004575B4">
        <w:rPr>
          <w:b/>
          <w:sz w:val="22"/>
        </w:rPr>
        <w:t>public financial guarantee</w:t>
      </w:r>
      <w:r w:rsidRPr="004575B4">
        <w:rPr>
          <w:sz w:val="22"/>
        </w:rPr>
        <w:t xml:space="preserve">, of course, could assist any creditor, being it the financing third party or the utility, and it would be most welcome. </w:t>
      </w:r>
    </w:p>
    <w:p w14:paraId="63E365B2" w14:textId="77777777" w:rsidR="004575B4" w:rsidRPr="004575B4" w:rsidRDefault="004575B4" w:rsidP="004575B4">
      <w:pPr>
        <w:rPr>
          <w:sz w:val="22"/>
          <w:u w:val="single"/>
        </w:rPr>
      </w:pPr>
      <w:r w:rsidRPr="004575B4">
        <w:rPr>
          <w:sz w:val="22"/>
          <w:u w:val="single"/>
        </w:rPr>
        <w:t>Disconnection</w:t>
      </w:r>
    </w:p>
    <w:p w14:paraId="25C14DAF" w14:textId="77777777" w:rsidR="004575B4" w:rsidRPr="004575B4" w:rsidRDefault="004575B4" w:rsidP="004575B4">
      <w:pPr>
        <w:rPr>
          <w:sz w:val="22"/>
        </w:rPr>
      </w:pPr>
      <w:r w:rsidRPr="004575B4">
        <w:rPr>
          <w:sz w:val="22"/>
        </w:rPr>
        <w:t xml:space="preserve">The legal possibility of disconnection in case of payment default of the on-bill instalment linked to the energy renovation is an open question. On one hand, participants argued that the regulatory framework in Italy does not allow disconnection in case of non-payment of additional (ancillary) charges (different from energy costs in a narrow sense) invoiced in the bill. Therefore, the same </w:t>
      </w:r>
      <w:proofErr w:type="gramStart"/>
      <w:r w:rsidRPr="004575B4">
        <w:rPr>
          <w:sz w:val="22"/>
        </w:rPr>
        <w:t>could likely be said</w:t>
      </w:r>
      <w:proofErr w:type="gramEnd"/>
      <w:r w:rsidRPr="004575B4">
        <w:rPr>
          <w:sz w:val="22"/>
        </w:rPr>
        <w:t xml:space="preserve"> with respect to any possible on-bill instalment linked to the energy renovation. On the other hand, </w:t>
      </w:r>
      <w:proofErr w:type="spellStart"/>
      <w:r w:rsidRPr="004575B4">
        <w:rPr>
          <w:sz w:val="22"/>
        </w:rPr>
        <w:t>Epta</w:t>
      </w:r>
      <w:proofErr w:type="spellEnd"/>
      <w:r w:rsidRPr="004575B4">
        <w:rPr>
          <w:sz w:val="22"/>
        </w:rPr>
        <w:t xml:space="preserve"> Prime raised the possibility that a default in payment of such additional charge might be subject to disconnection if the whole package (energy provision and energy renovation repayment) is agreed upon under an </w:t>
      </w:r>
      <w:r w:rsidRPr="004575B4">
        <w:rPr>
          <w:i/>
          <w:iCs/>
          <w:sz w:val="22"/>
        </w:rPr>
        <w:t>ex novo</w:t>
      </w:r>
      <w:r w:rsidRPr="004575B4">
        <w:rPr>
          <w:sz w:val="22"/>
        </w:rPr>
        <w:t xml:space="preserve"> contract with the end user.</w:t>
      </w:r>
    </w:p>
    <w:p w14:paraId="102CCDCC" w14:textId="77777777" w:rsidR="004575B4" w:rsidRPr="004575B4" w:rsidRDefault="004575B4" w:rsidP="004575B4">
      <w:pPr>
        <w:rPr>
          <w:sz w:val="22"/>
          <w:u w:val="single"/>
        </w:rPr>
      </w:pPr>
      <w:r w:rsidRPr="004575B4">
        <w:rPr>
          <w:sz w:val="22"/>
          <w:u w:val="single"/>
        </w:rPr>
        <w:t>Transfer of the payment obligation</w:t>
      </w:r>
    </w:p>
    <w:p w14:paraId="21DFD524" w14:textId="77777777" w:rsidR="004575B4" w:rsidRPr="004575B4" w:rsidRDefault="004575B4" w:rsidP="004575B4">
      <w:pPr>
        <w:rPr>
          <w:sz w:val="22"/>
        </w:rPr>
      </w:pPr>
      <w:r w:rsidRPr="004575B4">
        <w:rPr>
          <w:sz w:val="22"/>
        </w:rPr>
        <w:t xml:space="preserve">The hypothetical possibility of </w:t>
      </w:r>
      <w:r w:rsidRPr="004575B4">
        <w:rPr>
          <w:b/>
          <w:sz w:val="22"/>
        </w:rPr>
        <w:t>linking the repayment obligation to individual meters</w:t>
      </w:r>
      <w:r w:rsidRPr="004575B4">
        <w:rPr>
          <w:sz w:val="22"/>
        </w:rPr>
        <w:t xml:space="preserve"> may be an interesting option in case of sale of the house, to </w:t>
      </w:r>
      <w:proofErr w:type="gramStart"/>
      <w:r w:rsidRPr="004575B4">
        <w:rPr>
          <w:sz w:val="22"/>
        </w:rPr>
        <w:t>be explored</w:t>
      </w:r>
      <w:proofErr w:type="gramEnd"/>
      <w:r w:rsidRPr="004575B4">
        <w:rPr>
          <w:sz w:val="22"/>
        </w:rPr>
        <w:t xml:space="preserve"> in deeper as currently there are no known examples of debt portability of this kind. Two alternative approaches </w:t>
      </w:r>
      <w:proofErr w:type="gramStart"/>
      <w:r w:rsidRPr="004575B4">
        <w:rPr>
          <w:sz w:val="22"/>
        </w:rPr>
        <w:t>were outlined</w:t>
      </w:r>
      <w:proofErr w:type="gramEnd"/>
      <w:r w:rsidRPr="004575B4">
        <w:rPr>
          <w:sz w:val="22"/>
        </w:rPr>
        <w:t xml:space="preserve">: </w:t>
      </w:r>
    </w:p>
    <w:p w14:paraId="23008B3D" w14:textId="77777777" w:rsidR="004575B4" w:rsidRPr="004575B4" w:rsidRDefault="004575B4" w:rsidP="004575B4">
      <w:pPr>
        <w:pStyle w:val="Listenabsatz"/>
        <w:numPr>
          <w:ilvl w:val="0"/>
          <w:numId w:val="22"/>
        </w:numPr>
        <w:rPr>
          <w:sz w:val="22"/>
        </w:rPr>
      </w:pPr>
      <w:r w:rsidRPr="004575B4">
        <w:rPr>
          <w:sz w:val="22"/>
        </w:rPr>
        <w:t>the upfront payment of the residual debt by the seller; or</w:t>
      </w:r>
    </w:p>
    <w:p w14:paraId="66EA6FBC" w14:textId="77777777" w:rsidR="004575B4" w:rsidRPr="004575B4" w:rsidRDefault="004575B4" w:rsidP="004575B4">
      <w:pPr>
        <w:pStyle w:val="Listenabsatz"/>
        <w:numPr>
          <w:ilvl w:val="0"/>
          <w:numId w:val="22"/>
        </w:numPr>
        <w:rPr>
          <w:sz w:val="22"/>
        </w:rPr>
      </w:pPr>
      <w:proofErr w:type="gramStart"/>
      <w:r w:rsidRPr="004575B4">
        <w:rPr>
          <w:sz w:val="22"/>
        </w:rPr>
        <w:t>the</w:t>
      </w:r>
      <w:proofErr w:type="gramEnd"/>
      <w:r w:rsidRPr="004575B4">
        <w:rPr>
          <w:sz w:val="22"/>
        </w:rPr>
        <w:t xml:space="preserve"> takeover of the debt by the buyer (with corresponding reduction in the house's sale price). </w:t>
      </w:r>
    </w:p>
    <w:p w14:paraId="4ACD7190" w14:textId="77777777" w:rsidR="004575B4" w:rsidRPr="004575B4" w:rsidRDefault="004575B4" w:rsidP="004575B4">
      <w:pPr>
        <w:rPr>
          <w:sz w:val="22"/>
        </w:rPr>
      </w:pPr>
      <w:r w:rsidRPr="004575B4">
        <w:rPr>
          <w:sz w:val="22"/>
        </w:rPr>
        <w:t>Approach b) leads to the question whether it requires a new credit assessment by the financing third party and its agreement before the finalisation of the sale transaction.</w:t>
      </w:r>
    </w:p>
    <w:p w14:paraId="468A7B3A" w14:textId="77777777" w:rsidR="004575B4" w:rsidRPr="004575B4" w:rsidRDefault="004575B4" w:rsidP="004575B4">
      <w:pPr>
        <w:rPr>
          <w:sz w:val="22"/>
        </w:rPr>
      </w:pPr>
      <w:r w:rsidRPr="004575B4">
        <w:rPr>
          <w:sz w:val="22"/>
        </w:rPr>
        <w:t xml:space="preserve">In this context, workshop participants also discussed the current energy regulation that allows customers </w:t>
      </w:r>
      <w:proofErr w:type="gramStart"/>
      <w:r w:rsidRPr="004575B4">
        <w:rPr>
          <w:sz w:val="22"/>
        </w:rPr>
        <w:t>to easily switch</w:t>
      </w:r>
      <w:proofErr w:type="gramEnd"/>
      <w:r w:rsidRPr="004575B4">
        <w:rPr>
          <w:sz w:val="22"/>
        </w:rPr>
        <w:t xml:space="preserve"> from one energy supplier to another. Therefore, an end user seems not to be bound to stay with the same energy provider until the end of the repayment period. In case of </w:t>
      </w:r>
      <w:r w:rsidRPr="004575B4">
        <w:rPr>
          <w:b/>
          <w:sz w:val="22"/>
        </w:rPr>
        <w:t>change of energy provider</w:t>
      </w:r>
      <w:r w:rsidRPr="004575B4">
        <w:rPr>
          <w:sz w:val="22"/>
        </w:rPr>
        <w:t xml:space="preserve">, two alternatives </w:t>
      </w:r>
      <w:proofErr w:type="gramStart"/>
      <w:r w:rsidRPr="004575B4">
        <w:rPr>
          <w:sz w:val="22"/>
        </w:rPr>
        <w:t>were outlined</w:t>
      </w:r>
      <w:proofErr w:type="gramEnd"/>
      <w:r w:rsidRPr="004575B4">
        <w:rPr>
          <w:sz w:val="22"/>
        </w:rPr>
        <w:t xml:space="preserve">, if the lender is the utility (directly): </w:t>
      </w:r>
    </w:p>
    <w:p w14:paraId="49A638B6" w14:textId="77777777" w:rsidR="004575B4" w:rsidRPr="004575B4" w:rsidRDefault="004575B4" w:rsidP="004575B4">
      <w:pPr>
        <w:pStyle w:val="Listenabsatz"/>
        <w:numPr>
          <w:ilvl w:val="0"/>
          <w:numId w:val="23"/>
        </w:numPr>
        <w:rPr>
          <w:sz w:val="22"/>
        </w:rPr>
      </w:pPr>
      <w:r w:rsidRPr="004575B4">
        <w:rPr>
          <w:sz w:val="22"/>
        </w:rPr>
        <w:t xml:space="preserve">the upfront payment of the residual debt by the end user; </w:t>
      </w:r>
    </w:p>
    <w:p w14:paraId="08DA7364" w14:textId="77777777" w:rsidR="004575B4" w:rsidRPr="004575B4" w:rsidRDefault="004575B4" w:rsidP="004575B4">
      <w:pPr>
        <w:pStyle w:val="Listenabsatz"/>
        <w:numPr>
          <w:ilvl w:val="0"/>
          <w:numId w:val="23"/>
        </w:numPr>
        <w:rPr>
          <w:sz w:val="22"/>
        </w:rPr>
      </w:pPr>
      <w:proofErr w:type="gramStart"/>
      <w:r w:rsidRPr="004575B4">
        <w:rPr>
          <w:sz w:val="22"/>
        </w:rPr>
        <w:t>the</w:t>
      </w:r>
      <w:proofErr w:type="gramEnd"/>
      <w:r w:rsidRPr="004575B4">
        <w:rPr>
          <w:sz w:val="22"/>
        </w:rPr>
        <w:t xml:space="preserve"> transfer of credit to the new utility, whose acceptance is required for the transfer to be effective. </w:t>
      </w:r>
    </w:p>
    <w:p w14:paraId="3F896B91" w14:textId="77777777" w:rsidR="004575B4" w:rsidRPr="004575B4" w:rsidRDefault="004575B4" w:rsidP="004575B4">
      <w:pPr>
        <w:rPr>
          <w:sz w:val="22"/>
        </w:rPr>
      </w:pPr>
      <w:r w:rsidRPr="004575B4">
        <w:rPr>
          <w:sz w:val="22"/>
        </w:rPr>
        <w:t>If the lender is a financing third party, the issue appears to be limited to the agreement of such party on the new utility in its role of paying agent.</w:t>
      </w:r>
    </w:p>
    <w:p w14:paraId="41E8DF04" w14:textId="77777777" w:rsidR="004575B4" w:rsidRPr="004575B4" w:rsidRDefault="004575B4" w:rsidP="004575B4">
      <w:pPr>
        <w:rPr>
          <w:sz w:val="22"/>
          <w:u w:val="single"/>
        </w:rPr>
      </w:pPr>
      <w:r w:rsidRPr="004575B4">
        <w:rPr>
          <w:sz w:val="22"/>
          <w:u w:val="single"/>
        </w:rPr>
        <w:t>Condominium</w:t>
      </w:r>
    </w:p>
    <w:p w14:paraId="1DC07F36" w14:textId="77777777" w:rsidR="004575B4" w:rsidRPr="004575B4" w:rsidRDefault="004575B4" w:rsidP="004575B4">
      <w:pPr>
        <w:rPr>
          <w:sz w:val="22"/>
        </w:rPr>
      </w:pPr>
      <w:r w:rsidRPr="004575B4">
        <w:rPr>
          <w:sz w:val="22"/>
        </w:rPr>
        <w:t xml:space="preserve">Workshop participants emphasised that condominiums in Italy do not have a legal personality, despite having a tax code. As found by </w:t>
      </w:r>
      <w:proofErr w:type="spellStart"/>
      <w:r w:rsidRPr="004575B4">
        <w:rPr>
          <w:sz w:val="22"/>
        </w:rPr>
        <w:t>Epta</w:t>
      </w:r>
      <w:proofErr w:type="spellEnd"/>
      <w:r w:rsidRPr="004575B4">
        <w:rPr>
          <w:sz w:val="22"/>
        </w:rPr>
        <w:t xml:space="preserve"> Prime, two recent Italian Supreme Court decisions state that </w:t>
      </w:r>
      <w:r w:rsidRPr="004575B4">
        <w:rPr>
          <w:b/>
          <w:sz w:val="22"/>
        </w:rPr>
        <w:t xml:space="preserve">individual debtors are not jointly and severally liable for condominium expenses, but </w:t>
      </w:r>
      <w:r w:rsidRPr="004575B4">
        <w:rPr>
          <w:b/>
          <w:i/>
          <w:sz w:val="22"/>
        </w:rPr>
        <w:t>pro quota</w:t>
      </w:r>
      <w:r w:rsidRPr="004575B4">
        <w:rPr>
          <w:b/>
          <w:sz w:val="22"/>
        </w:rPr>
        <w:t xml:space="preserve"> only. </w:t>
      </w:r>
      <w:r w:rsidRPr="004575B4">
        <w:rPr>
          <w:sz w:val="22"/>
        </w:rPr>
        <w:t xml:space="preserve">On the one hand, this may be a barrier for an on-bill scheme, since a joint </w:t>
      </w:r>
      <w:r w:rsidRPr="004575B4">
        <w:rPr>
          <w:sz w:val="22"/>
        </w:rPr>
        <w:lastRenderedPageBreak/>
        <w:t xml:space="preserve">and several liability among obligors could be a valuable risk </w:t>
      </w:r>
      <w:proofErr w:type="spellStart"/>
      <w:r w:rsidRPr="004575B4">
        <w:rPr>
          <w:sz w:val="22"/>
        </w:rPr>
        <w:t>mitigator</w:t>
      </w:r>
      <w:proofErr w:type="spellEnd"/>
      <w:r w:rsidRPr="004575B4">
        <w:rPr>
          <w:sz w:val="22"/>
        </w:rPr>
        <w:t xml:space="preserve"> for a financing third party. On the other hand, it could be an opportunity, as this kind of liability is a disincentive for individual prospective obligors to vote in favour of the energy renovation in condominium assemblies. </w:t>
      </w:r>
    </w:p>
    <w:p w14:paraId="7CDCFD86" w14:textId="77777777" w:rsidR="004575B4" w:rsidRPr="004575B4" w:rsidRDefault="004575B4" w:rsidP="004575B4">
      <w:pPr>
        <w:rPr>
          <w:sz w:val="22"/>
          <w:u w:val="single"/>
        </w:rPr>
      </w:pPr>
      <w:r w:rsidRPr="004575B4">
        <w:rPr>
          <w:rFonts w:cstheme="minorHAnsi"/>
          <w:sz w:val="22"/>
        </w:rPr>
        <w:t xml:space="preserve">Moreover, workshop participants highlighted the importance of carefully managing the process of forming the will of condominiums’ individual owners. The absence of joint liability among obligors is a necessary but not sufficient element. As a general </w:t>
      </w:r>
      <w:proofErr w:type="gramStart"/>
      <w:r w:rsidRPr="004575B4">
        <w:rPr>
          <w:rFonts w:cstheme="minorHAnsi"/>
          <w:sz w:val="22"/>
        </w:rPr>
        <w:t>remark</w:t>
      </w:r>
      <w:proofErr w:type="gramEnd"/>
      <w:r w:rsidRPr="004575B4">
        <w:rPr>
          <w:rFonts w:cstheme="minorHAnsi"/>
          <w:sz w:val="22"/>
        </w:rPr>
        <w:t xml:space="preserve"> one of the participants highlighted that, according to their experience, when dealing with energy renovation interventions’ approvals it is important to offer the condominium assembly a range of options within the basic </w:t>
      </w:r>
      <w:r w:rsidRPr="004575B4">
        <w:rPr>
          <w:sz w:val="22"/>
        </w:rPr>
        <w:t>scheme</w:t>
      </w:r>
      <w:r w:rsidRPr="004575B4">
        <w:rPr>
          <w:rFonts w:cstheme="minorHAnsi"/>
          <w:sz w:val="22"/>
        </w:rPr>
        <w:t xml:space="preserve">. It is also important to train condominium managers in order to enable them </w:t>
      </w:r>
      <w:proofErr w:type="gramStart"/>
      <w:r w:rsidRPr="004575B4">
        <w:rPr>
          <w:rFonts w:cstheme="minorHAnsi"/>
          <w:sz w:val="22"/>
        </w:rPr>
        <w:t xml:space="preserve">to adequately </w:t>
      </w:r>
      <w:r w:rsidRPr="004575B4">
        <w:rPr>
          <w:sz w:val="22"/>
        </w:rPr>
        <w:t>master</w:t>
      </w:r>
      <w:proofErr w:type="gramEnd"/>
      <w:r w:rsidRPr="004575B4">
        <w:rPr>
          <w:sz w:val="22"/>
        </w:rPr>
        <w:t xml:space="preserve"> the topic discussed</w:t>
      </w:r>
      <w:r w:rsidRPr="004575B4">
        <w:rPr>
          <w:rFonts w:cstheme="minorHAnsi"/>
          <w:sz w:val="22"/>
        </w:rPr>
        <w:t xml:space="preserve"> and that qualified technicians attend the condominium owners’ meetings and advise the managers.</w:t>
      </w:r>
    </w:p>
    <w:p w14:paraId="53A46B31" w14:textId="77777777" w:rsidR="004575B4" w:rsidRPr="004575B4" w:rsidRDefault="004575B4" w:rsidP="004575B4">
      <w:pPr>
        <w:rPr>
          <w:sz w:val="22"/>
          <w:u w:val="single"/>
        </w:rPr>
      </w:pPr>
      <w:r w:rsidRPr="004575B4">
        <w:rPr>
          <w:sz w:val="22"/>
          <w:u w:val="single"/>
        </w:rPr>
        <w:t xml:space="preserve">Market and value chain </w:t>
      </w:r>
    </w:p>
    <w:p w14:paraId="65B12BD6" w14:textId="77777777" w:rsidR="004575B4" w:rsidRPr="004575B4" w:rsidRDefault="004575B4" w:rsidP="004575B4">
      <w:pPr>
        <w:rPr>
          <w:rFonts w:cstheme="minorHAnsi"/>
          <w:sz w:val="22"/>
        </w:rPr>
      </w:pPr>
      <w:r w:rsidRPr="004575B4">
        <w:rPr>
          <w:rFonts w:cstheme="minorHAnsi"/>
          <w:sz w:val="22"/>
        </w:rPr>
        <w:t>Investors view more and more favourably t</w:t>
      </w:r>
      <w:r w:rsidRPr="004575B4">
        <w:rPr>
          <w:sz w:val="22"/>
        </w:rPr>
        <w:t xml:space="preserve">he "green" dimension of an investment. </w:t>
      </w:r>
      <w:proofErr w:type="gramStart"/>
      <w:r w:rsidRPr="004575B4">
        <w:rPr>
          <w:sz w:val="22"/>
        </w:rPr>
        <w:t>Also</w:t>
      </w:r>
      <w:proofErr w:type="gramEnd"/>
      <w:r w:rsidRPr="004575B4">
        <w:rPr>
          <w:sz w:val="22"/>
        </w:rPr>
        <w:t>, the prospective Basel IV Accord</w:t>
      </w:r>
      <w:r w:rsidRPr="004575B4">
        <w:rPr>
          <w:rStyle w:val="Funotenzeichen"/>
          <w:sz w:val="22"/>
        </w:rPr>
        <w:footnoteReference w:id="1"/>
      </w:r>
      <w:r w:rsidRPr="004575B4">
        <w:rPr>
          <w:sz w:val="22"/>
        </w:rPr>
        <w:t xml:space="preserve"> is considering a favourable discipline for "green" assets in terms of reduced absorption of regulatory capital for banks, if compared to a generic investment. This would allow increasing the investments in energy interventions.</w:t>
      </w:r>
    </w:p>
    <w:p w14:paraId="58EBA64E" w14:textId="77777777" w:rsidR="004575B4" w:rsidRPr="004575B4" w:rsidRDefault="004575B4" w:rsidP="004575B4">
      <w:pPr>
        <w:rPr>
          <w:sz w:val="22"/>
        </w:rPr>
      </w:pPr>
      <w:r w:rsidRPr="004575B4">
        <w:rPr>
          <w:rFonts w:cstheme="minorHAnsi"/>
          <w:sz w:val="22"/>
        </w:rPr>
        <w:t xml:space="preserve">It was also noted that </w:t>
      </w:r>
      <w:r w:rsidRPr="004575B4">
        <w:rPr>
          <w:b/>
          <w:sz w:val="22"/>
        </w:rPr>
        <w:t>post-</w:t>
      </w:r>
      <w:proofErr w:type="spellStart"/>
      <w:r w:rsidRPr="004575B4">
        <w:rPr>
          <w:b/>
          <w:sz w:val="22"/>
        </w:rPr>
        <w:t>Covid</w:t>
      </w:r>
      <w:proofErr w:type="spellEnd"/>
      <w:r w:rsidRPr="004575B4">
        <w:rPr>
          <w:sz w:val="22"/>
        </w:rPr>
        <w:t xml:space="preserve"> it may be possible that loans to all ESCOs will be facilitated and agreed at very low rates, basically levelling off the conditions between the major utilities/ESCOs (e.g. ENI, ENEL, etc.) and the smaller ones. This could create a more favourable environment for the success of OBS in Italy.</w:t>
      </w:r>
    </w:p>
    <w:bookmarkEnd w:id="1"/>
    <w:p w14:paraId="3904C94D" w14:textId="7E953F5A" w:rsidR="0078605E" w:rsidRPr="00447D89" w:rsidRDefault="00447D89" w:rsidP="00447D89">
      <w:pPr>
        <w:rPr>
          <w:b/>
          <w:sz w:val="32"/>
        </w:rPr>
      </w:pPr>
      <w:r w:rsidRPr="00447D89">
        <w:rPr>
          <w:b/>
          <w:sz w:val="32"/>
        </w:rPr>
        <w:t>CROSS-COUNTRY COMPARISON</w:t>
      </w:r>
    </w:p>
    <w:p w14:paraId="78EF1166" w14:textId="576191F6" w:rsidR="00C815ED" w:rsidRPr="001339F9" w:rsidRDefault="00C815ED" w:rsidP="00C815ED">
      <w:pPr>
        <w:rPr>
          <w:sz w:val="22"/>
        </w:rPr>
      </w:pPr>
      <w:r w:rsidRPr="001339F9">
        <w:rPr>
          <w:sz w:val="22"/>
        </w:rPr>
        <w:t xml:space="preserve">During all four </w:t>
      </w:r>
      <w:r w:rsidR="005820FF" w:rsidRPr="001339F9">
        <w:rPr>
          <w:sz w:val="22"/>
        </w:rPr>
        <w:t xml:space="preserve">national </w:t>
      </w:r>
      <w:r w:rsidRPr="001339F9">
        <w:rPr>
          <w:sz w:val="22"/>
        </w:rPr>
        <w:t>workshops</w:t>
      </w:r>
      <w:r w:rsidR="005820FF" w:rsidRPr="001339F9">
        <w:rPr>
          <w:sz w:val="22"/>
        </w:rPr>
        <w:t xml:space="preserve"> in Spain, Italy, Lithuania, and Germany</w:t>
      </w:r>
      <w:r w:rsidRPr="001339F9">
        <w:rPr>
          <w:sz w:val="22"/>
        </w:rPr>
        <w:t>, participants discussed questions related to the relevant target market</w:t>
      </w:r>
      <w:r w:rsidR="00F50A5D" w:rsidRPr="001339F9">
        <w:rPr>
          <w:sz w:val="22"/>
        </w:rPr>
        <w:t xml:space="preserve"> segments</w:t>
      </w:r>
      <w:r w:rsidRPr="001339F9">
        <w:rPr>
          <w:sz w:val="22"/>
        </w:rPr>
        <w:t xml:space="preserve"> and to the preferences in terms of source of financing for the on-bill scheme (OBS vs. OBR). </w:t>
      </w:r>
      <w:r w:rsidR="00AC6A0A" w:rsidRPr="001339F9">
        <w:rPr>
          <w:sz w:val="22"/>
        </w:rPr>
        <w:t>By</w:t>
      </w:r>
      <w:r w:rsidR="00901FFB" w:rsidRPr="001339F9">
        <w:rPr>
          <w:sz w:val="22"/>
        </w:rPr>
        <w:t xml:space="preserve"> comparison, one can see that </w:t>
      </w:r>
      <w:r w:rsidR="00190D0F" w:rsidRPr="001339F9">
        <w:rPr>
          <w:sz w:val="22"/>
        </w:rPr>
        <w:t>“</w:t>
      </w:r>
      <w:r w:rsidR="00216980" w:rsidRPr="001339F9">
        <w:rPr>
          <w:sz w:val="22"/>
        </w:rPr>
        <w:t>owner-occupied multi-family buildings</w:t>
      </w:r>
      <w:r w:rsidR="00190D0F" w:rsidRPr="001339F9">
        <w:rPr>
          <w:sz w:val="22"/>
        </w:rPr>
        <w:t>”</w:t>
      </w:r>
      <w:r w:rsidR="00216980" w:rsidRPr="001339F9">
        <w:rPr>
          <w:sz w:val="22"/>
        </w:rPr>
        <w:t xml:space="preserve"> represent</w:t>
      </w:r>
      <w:r w:rsidR="00190D0F" w:rsidRPr="001339F9">
        <w:rPr>
          <w:sz w:val="22"/>
        </w:rPr>
        <w:t>s</w:t>
      </w:r>
      <w:r w:rsidR="00216980" w:rsidRPr="001339F9">
        <w:rPr>
          <w:sz w:val="22"/>
        </w:rPr>
        <w:t xml:space="preserve"> </w:t>
      </w:r>
      <w:r w:rsidR="00901FFB" w:rsidRPr="001339F9">
        <w:rPr>
          <w:sz w:val="22"/>
        </w:rPr>
        <w:t xml:space="preserve">the most promising </w:t>
      </w:r>
      <w:r w:rsidR="00F50A5D" w:rsidRPr="001339F9">
        <w:rPr>
          <w:sz w:val="22"/>
        </w:rPr>
        <w:t>segment</w:t>
      </w:r>
      <w:r w:rsidR="00901FFB" w:rsidRPr="001339F9">
        <w:rPr>
          <w:sz w:val="22"/>
        </w:rPr>
        <w:t xml:space="preserve"> for on-bill schemes</w:t>
      </w:r>
      <w:r w:rsidR="00CC1FF4" w:rsidRPr="001339F9">
        <w:rPr>
          <w:sz w:val="22"/>
        </w:rPr>
        <w:t xml:space="preserve">, </w:t>
      </w:r>
      <w:proofErr w:type="gramStart"/>
      <w:r w:rsidR="00190D0F" w:rsidRPr="001339F9">
        <w:rPr>
          <w:sz w:val="22"/>
        </w:rPr>
        <w:t xml:space="preserve">as it </w:t>
      </w:r>
      <w:r w:rsidR="009163B2" w:rsidRPr="001339F9">
        <w:rPr>
          <w:sz w:val="22"/>
        </w:rPr>
        <w:t>is</w:t>
      </w:r>
      <w:r w:rsidR="00190D0F" w:rsidRPr="001339F9">
        <w:rPr>
          <w:sz w:val="22"/>
        </w:rPr>
        <w:t xml:space="preserve"> </w:t>
      </w:r>
      <w:r w:rsidR="00CC1FF4" w:rsidRPr="001339F9">
        <w:rPr>
          <w:sz w:val="22"/>
        </w:rPr>
        <w:t xml:space="preserve">the only </w:t>
      </w:r>
      <w:r w:rsidR="009163B2" w:rsidRPr="001339F9">
        <w:rPr>
          <w:sz w:val="22"/>
        </w:rPr>
        <w:t>one that</w:t>
      </w:r>
      <w:r w:rsidR="00190D0F" w:rsidRPr="001339F9">
        <w:rPr>
          <w:sz w:val="22"/>
        </w:rPr>
        <w:t xml:space="preserve"> is </w:t>
      </w:r>
      <w:r w:rsidR="00CC1FF4" w:rsidRPr="001339F9">
        <w:rPr>
          <w:sz w:val="22"/>
        </w:rPr>
        <w:t>relevant</w:t>
      </w:r>
      <w:r w:rsidR="00901FFB" w:rsidRPr="001339F9">
        <w:rPr>
          <w:sz w:val="22"/>
        </w:rPr>
        <w:t xml:space="preserve"> across all four countries</w:t>
      </w:r>
      <w:proofErr w:type="gramEnd"/>
      <w:r w:rsidR="00901FFB" w:rsidRPr="001339F9">
        <w:rPr>
          <w:sz w:val="22"/>
        </w:rPr>
        <w:t>.</w:t>
      </w:r>
      <w:r w:rsidR="009163B2" w:rsidRPr="001339F9">
        <w:rPr>
          <w:sz w:val="22"/>
        </w:rPr>
        <w:t xml:space="preserve"> At the same time,</w:t>
      </w:r>
      <w:r w:rsidR="00901FFB" w:rsidRPr="001339F9">
        <w:rPr>
          <w:sz w:val="22"/>
        </w:rPr>
        <w:t xml:space="preserve"> participants were aware of the complications that may arise when realising an energy renovation intervention in a setting where owners</w:t>
      </w:r>
      <w:r w:rsidR="00EA1689" w:rsidRPr="001339F9">
        <w:rPr>
          <w:sz w:val="22"/>
        </w:rPr>
        <w:t xml:space="preserve"> may hold</w:t>
      </w:r>
      <w:r w:rsidR="00901FFB" w:rsidRPr="001339F9">
        <w:rPr>
          <w:sz w:val="22"/>
        </w:rPr>
        <w:t xml:space="preserve"> multiple </w:t>
      </w:r>
      <w:r w:rsidR="00EA1689" w:rsidRPr="001339F9">
        <w:rPr>
          <w:sz w:val="22"/>
        </w:rPr>
        <w:t xml:space="preserve">and different </w:t>
      </w:r>
      <w:r w:rsidR="00901FFB" w:rsidRPr="001339F9">
        <w:rPr>
          <w:sz w:val="22"/>
        </w:rPr>
        <w:t xml:space="preserve">interests. </w:t>
      </w:r>
    </w:p>
    <w:p w14:paraId="216A7F59" w14:textId="2452CF73" w:rsidR="00210E10" w:rsidRPr="001339F9" w:rsidRDefault="00901FFB" w:rsidP="00C815ED">
      <w:pPr>
        <w:rPr>
          <w:sz w:val="22"/>
        </w:rPr>
      </w:pPr>
      <w:r w:rsidRPr="001339F9">
        <w:rPr>
          <w:sz w:val="22"/>
        </w:rPr>
        <w:t xml:space="preserve">In Spain and Germany, single-family houses </w:t>
      </w:r>
      <w:proofErr w:type="gramStart"/>
      <w:r w:rsidRPr="001339F9">
        <w:rPr>
          <w:sz w:val="22"/>
        </w:rPr>
        <w:t>were also considered</w:t>
      </w:r>
      <w:proofErr w:type="gramEnd"/>
      <w:r w:rsidRPr="001339F9">
        <w:rPr>
          <w:sz w:val="22"/>
        </w:rPr>
        <w:t xml:space="preserve"> a potential </w:t>
      </w:r>
      <w:r w:rsidR="00F50A5D" w:rsidRPr="001339F9">
        <w:rPr>
          <w:sz w:val="22"/>
        </w:rPr>
        <w:t>segment</w:t>
      </w:r>
      <w:r w:rsidRPr="001339F9">
        <w:rPr>
          <w:sz w:val="22"/>
        </w:rPr>
        <w:t xml:space="preserve"> that may serve as a comparatively easy entry point for on-bill renovation measures. </w:t>
      </w:r>
    </w:p>
    <w:p w14:paraId="5B34CC27" w14:textId="4473AD73" w:rsidR="00901FFB" w:rsidRPr="001339F9" w:rsidRDefault="00901FFB" w:rsidP="00C815ED">
      <w:pPr>
        <w:rPr>
          <w:sz w:val="22"/>
        </w:rPr>
      </w:pPr>
      <w:r w:rsidRPr="001339F9">
        <w:rPr>
          <w:sz w:val="22"/>
        </w:rPr>
        <w:t xml:space="preserve">Social housing entities, however, </w:t>
      </w:r>
      <w:proofErr w:type="gramStart"/>
      <w:r w:rsidR="00210E10" w:rsidRPr="001339F9">
        <w:rPr>
          <w:sz w:val="22"/>
        </w:rPr>
        <w:t>were only mentioned</w:t>
      </w:r>
      <w:proofErr w:type="gramEnd"/>
      <w:r w:rsidRPr="001339F9">
        <w:rPr>
          <w:sz w:val="22"/>
        </w:rPr>
        <w:t xml:space="preserve"> in the Italian context. </w:t>
      </w:r>
      <w:r w:rsidR="00210E10" w:rsidRPr="001339F9">
        <w:rPr>
          <w:sz w:val="22"/>
        </w:rPr>
        <w:t xml:space="preserve">In any case, </w:t>
      </w:r>
      <w:r w:rsidR="00564268" w:rsidRPr="001339F9">
        <w:rPr>
          <w:sz w:val="22"/>
        </w:rPr>
        <w:t>the select</w:t>
      </w:r>
      <w:r w:rsidR="00806876" w:rsidRPr="001339F9">
        <w:rPr>
          <w:sz w:val="22"/>
        </w:rPr>
        <w:t>ion</w:t>
      </w:r>
      <w:r w:rsidR="00564268" w:rsidRPr="001339F9">
        <w:rPr>
          <w:sz w:val="22"/>
        </w:rPr>
        <w:t xml:space="preserve"> </w:t>
      </w:r>
      <w:proofErr w:type="gramStart"/>
      <w:r w:rsidR="00806876" w:rsidRPr="001339F9">
        <w:rPr>
          <w:sz w:val="22"/>
        </w:rPr>
        <w:t xml:space="preserve">of </w:t>
      </w:r>
      <w:r w:rsidR="00564268" w:rsidRPr="001339F9">
        <w:rPr>
          <w:sz w:val="22"/>
        </w:rPr>
        <w:t xml:space="preserve"> market</w:t>
      </w:r>
      <w:proofErr w:type="gramEnd"/>
      <w:r w:rsidR="00F50A5D" w:rsidRPr="001339F9">
        <w:rPr>
          <w:sz w:val="22"/>
        </w:rPr>
        <w:t xml:space="preserve"> segments</w:t>
      </w:r>
      <w:r w:rsidR="00564268" w:rsidRPr="001339F9">
        <w:rPr>
          <w:sz w:val="22"/>
        </w:rPr>
        <w:t xml:space="preserve"> may depend on the stakeholders who participate in the </w:t>
      </w:r>
      <w:r w:rsidR="00806876" w:rsidRPr="001339F9">
        <w:rPr>
          <w:sz w:val="22"/>
        </w:rPr>
        <w:t>exchange</w:t>
      </w:r>
      <w:r w:rsidR="00564268" w:rsidRPr="001339F9">
        <w:rPr>
          <w:sz w:val="22"/>
        </w:rPr>
        <w:t xml:space="preserve">. </w:t>
      </w:r>
      <w:r w:rsidR="00564268" w:rsidRPr="001339F9">
        <w:rPr>
          <w:sz w:val="22"/>
        </w:rPr>
        <w:lastRenderedPageBreak/>
        <w:t xml:space="preserve">In Spain, for instance, no social agents participated in the prototyping workshop and therefore, social housing </w:t>
      </w:r>
      <w:proofErr w:type="gramStart"/>
      <w:r w:rsidR="00564268" w:rsidRPr="001339F9">
        <w:rPr>
          <w:sz w:val="22"/>
        </w:rPr>
        <w:t>was not discussed</w:t>
      </w:r>
      <w:proofErr w:type="gramEnd"/>
      <w:r w:rsidR="00564268" w:rsidRPr="001339F9">
        <w:rPr>
          <w:sz w:val="22"/>
        </w:rPr>
        <w:t xml:space="preserve"> as a primary market</w:t>
      </w:r>
      <w:r w:rsidR="00F50A5D" w:rsidRPr="001339F9">
        <w:rPr>
          <w:sz w:val="22"/>
        </w:rPr>
        <w:t xml:space="preserve"> segment</w:t>
      </w:r>
      <w:r w:rsidR="00564268" w:rsidRPr="001339F9">
        <w:rPr>
          <w:sz w:val="22"/>
        </w:rPr>
        <w:t xml:space="preserve"> for on-bill schemes. </w:t>
      </w:r>
    </w:p>
    <w:p w14:paraId="082F18A9" w14:textId="1DFAE4DB" w:rsidR="00901FFB" w:rsidRPr="001339F9" w:rsidRDefault="00901FFB" w:rsidP="00C815ED">
      <w:pPr>
        <w:rPr>
          <w:sz w:val="22"/>
        </w:rPr>
      </w:pPr>
      <w:r w:rsidRPr="001339F9">
        <w:rPr>
          <w:sz w:val="22"/>
        </w:rPr>
        <w:t xml:space="preserve">In terms of the overall preferred on-bill model, all participants agreed that for any large-scale intervention on-bill repayment (where </w:t>
      </w:r>
      <w:proofErr w:type="gramStart"/>
      <w:r w:rsidRPr="001339F9">
        <w:rPr>
          <w:sz w:val="22"/>
        </w:rPr>
        <w:t>investment capital is provided by a private third party</w:t>
      </w:r>
      <w:proofErr w:type="gramEnd"/>
      <w:r w:rsidRPr="001339F9">
        <w:rPr>
          <w:sz w:val="22"/>
        </w:rPr>
        <w:t xml:space="preserve">) </w:t>
      </w:r>
      <w:r w:rsidR="00870208" w:rsidRPr="001339F9">
        <w:rPr>
          <w:sz w:val="22"/>
        </w:rPr>
        <w:t>appears to be</w:t>
      </w:r>
      <w:r w:rsidRPr="001339F9">
        <w:rPr>
          <w:sz w:val="22"/>
        </w:rPr>
        <w:t xml:space="preserve"> more </w:t>
      </w:r>
      <w:r w:rsidR="00AC6A0A" w:rsidRPr="001339F9">
        <w:rPr>
          <w:sz w:val="22"/>
        </w:rPr>
        <w:t>suit</w:t>
      </w:r>
      <w:r w:rsidR="00870208" w:rsidRPr="001339F9">
        <w:rPr>
          <w:sz w:val="22"/>
        </w:rPr>
        <w:t>able</w:t>
      </w:r>
      <w:r w:rsidR="00AC6A0A" w:rsidRPr="001339F9">
        <w:rPr>
          <w:sz w:val="22"/>
        </w:rPr>
        <w:t xml:space="preserve"> </w:t>
      </w:r>
      <w:r w:rsidRPr="001339F9">
        <w:rPr>
          <w:sz w:val="22"/>
        </w:rPr>
        <w:t xml:space="preserve">than on-bill financing. </w:t>
      </w:r>
      <w:r w:rsidR="00870208" w:rsidRPr="001339F9">
        <w:rPr>
          <w:sz w:val="22"/>
        </w:rPr>
        <w:t xml:space="preserve">Again, this picture may change with more large-scale utilities participating in the exchange. </w:t>
      </w:r>
    </w:p>
    <w:p w14:paraId="3877192A" w14:textId="6C75A95C" w:rsidR="00C815ED" w:rsidRPr="00C815ED" w:rsidRDefault="00C815ED" w:rsidP="00C815ED">
      <w:r w:rsidRPr="001339F9">
        <w:rPr>
          <w:sz w:val="22"/>
        </w:rPr>
        <w:t>The table below summarises these findings</w:t>
      </w:r>
      <w:r>
        <w:t xml:space="preserve">. </w:t>
      </w:r>
    </w:p>
    <w:tbl>
      <w:tblPr>
        <w:tblStyle w:val="Gitternetztabelle1hellAkzent3"/>
        <w:tblW w:w="8272" w:type="dxa"/>
        <w:tblBorders>
          <w:top w:val="single" w:sz="4" w:space="0" w:color="373C78" w:themeColor="accent1"/>
          <w:left w:val="single" w:sz="4" w:space="0" w:color="373C78" w:themeColor="accent1"/>
          <w:bottom w:val="single" w:sz="4" w:space="0" w:color="373C78" w:themeColor="accent1"/>
          <w:right w:val="single" w:sz="4" w:space="0" w:color="373C78" w:themeColor="accent1"/>
          <w:insideH w:val="single" w:sz="4" w:space="0" w:color="373C78" w:themeColor="accent1"/>
          <w:insideV w:val="single" w:sz="4" w:space="0" w:color="373C78" w:themeColor="accent1"/>
        </w:tblBorders>
        <w:tblLook w:val="04A0" w:firstRow="1" w:lastRow="0" w:firstColumn="1" w:lastColumn="0" w:noHBand="0" w:noVBand="1"/>
      </w:tblPr>
      <w:tblGrid>
        <w:gridCol w:w="1187"/>
        <w:gridCol w:w="1417"/>
        <w:gridCol w:w="1417"/>
        <w:gridCol w:w="1417"/>
        <w:gridCol w:w="1417"/>
        <w:gridCol w:w="1417"/>
      </w:tblGrid>
      <w:tr w:rsidR="00FE7A5C" w14:paraId="635A9BF8" w14:textId="77777777" w:rsidTr="00447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tcBorders>
              <w:top w:val="nil"/>
              <w:left w:val="nil"/>
              <w:bottom w:val="nil"/>
            </w:tcBorders>
          </w:tcPr>
          <w:p w14:paraId="4DE9F732" w14:textId="77777777" w:rsidR="00FE7A5C" w:rsidRPr="006D0ADA" w:rsidRDefault="00FE7A5C" w:rsidP="00FE7764">
            <w:pPr>
              <w:rPr>
                <w:rFonts w:asciiTheme="majorHAnsi" w:eastAsiaTheme="majorEastAsia" w:hAnsiTheme="majorHAnsi" w:cstheme="majorBidi"/>
                <w:color w:val="292C59" w:themeColor="accent1" w:themeShade="BF"/>
                <w:szCs w:val="20"/>
                <w:lang w:val="en-US"/>
              </w:rPr>
            </w:pPr>
          </w:p>
        </w:tc>
        <w:tc>
          <w:tcPr>
            <w:tcW w:w="2834" w:type="dxa"/>
            <w:gridSpan w:val="2"/>
            <w:tcBorders>
              <w:bottom w:val="none" w:sz="0" w:space="0" w:color="auto"/>
            </w:tcBorders>
            <w:shd w:val="clear" w:color="auto" w:fill="A3A6D5" w:themeFill="accent1" w:themeFillTint="66"/>
            <w:vAlign w:val="center"/>
          </w:tcPr>
          <w:p w14:paraId="53FE2682" w14:textId="724333A8" w:rsidR="00FE7A5C" w:rsidRPr="001339F9" w:rsidRDefault="00FE7A5C" w:rsidP="001339F9">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Target market</w:t>
            </w:r>
            <w:r w:rsidR="00F50A5D" w:rsidRPr="001339F9">
              <w:rPr>
                <w:rFonts w:asciiTheme="majorHAnsi" w:eastAsiaTheme="majorEastAsia" w:hAnsiTheme="majorHAnsi" w:cstheme="majorBidi"/>
                <w:color w:val="292C59" w:themeColor="accent1" w:themeShade="BF"/>
                <w:sz w:val="22"/>
                <w:szCs w:val="20"/>
                <w:lang w:val="en-US"/>
              </w:rPr>
              <w:t xml:space="preserve"> segments</w:t>
            </w:r>
          </w:p>
        </w:tc>
        <w:tc>
          <w:tcPr>
            <w:tcW w:w="4251" w:type="dxa"/>
            <w:gridSpan w:val="3"/>
            <w:tcBorders>
              <w:bottom w:val="none" w:sz="0" w:space="0" w:color="auto"/>
            </w:tcBorders>
            <w:shd w:val="clear" w:color="auto" w:fill="A3A6D5" w:themeFill="accent1" w:themeFillTint="66"/>
            <w:vAlign w:val="center"/>
          </w:tcPr>
          <w:p w14:paraId="5B54E824" w14:textId="0BC57D9C" w:rsidR="00FE7A5C" w:rsidRPr="001339F9" w:rsidRDefault="00FE7A5C" w:rsidP="001339F9">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Preferred on-bill model</w:t>
            </w:r>
          </w:p>
        </w:tc>
      </w:tr>
      <w:tr w:rsidR="00FE7A5C" w14:paraId="18E4D107" w14:textId="77777777" w:rsidTr="00447D89">
        <w:tc>
          <w:tcPr>
            <w:cnfStyle w:val="001000000000" w:firstRow="0" w:lastRow="0" w:firstColumn="1" w:lastColumn="0" w:oddVBand="0" w:evenVBand="0" w:oddHBand="0" w:evenHBand="0" w:firstRowFirstColumn="0" w:firstRowLastColumn="0" w:lastRowFirstColumn="0" w:lastRowLastColumn="0"/>
            <w:tcW w:w="1187" w:type="dxa"/>
            <w:tcBorders>
              <w:top w:val="nil"/>
              <w:left w:val="nil"/>
            </w:tcBorders>
          </w:tcPr>
          <w:p w14:paraId="6C3F92E9" w14:textId="77777777" w:rsidR="00FE7A5C" w:rsidRPr="006D0ADA" w:rsidRDefault="00FE7A5C" w:rsidP="00FE7764">
            <w:pPr>
              <w:rPr>
                <w:rFonts w:asciiTheme="majorHAnsi" w:eastAsiaTheme="majorEastAsia" w:hAnsiTheme="majorHAnsi" w:cstheme="majorBidi"/>
                <w:color w:val="292C59" w:themeColor="accent1" w:themeShade="BF"/>
                <w:szCs w:val="20"/>
                <w:lang w:val="en-US"/>
              </w:rPr>
            </w:pPr>
          </w:p>
        </w:tc>
        <w:tc>
          <w:tcPr>
            <w:tcW w:w="1417" w:type="dxa"/>
            <w:shd w:val="clear" w:color="auto" w:fill="D1D2EA" w:themeFill="accent1" w:themeFillTint="33"/>
          </w:tcPr>
          <w:p w14:paraId="5DF3D659" w14:textId="390AEEBC" w:rsidR="00FE7A5C" w:rsidRPr="006D0ADA"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r>
              <w:rPr>
                <w:rFonts w:asciiTheme="majorHAnsi" w:eastAsiaTheme="majorEastAsia" w:hAnsiTheme="majorHAnsi" w:cstheme="majorBidi"/>
                <w:color w:val="292C59" w:themeColor="accent1" w:themeShade="BF"/>
                <w:szCs w:val="20"/>
                <w:lang w:val="en-US"/>
              </w:rPr>
              <w:t>Owner-occupied single family-houses</w:t>
            </w:r>
          </w:p>
        </w:tc>
        <w:tc>
          <w:tcPr>
            <w:tcW w:w="1417" w:type="dxa"/>
            <w:shd w:val="clear" w:color="auto" w:fill="D1D2EA" w:themeFill="accent1" w:themeFillTint="33"/>
          </w:tcPr>
          <w:p w14:paraId="4F18A6C1" w14:textId="23010CE0"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Owner-occupied multi-family buildings</w:t>
            </w:r>
          </w:p>
        </w:tc>
        <w:tc>
          <w:tcPr>
            <w:tcW w:w="1417" w:type="dxa"/>
            <w:shd w:val="clear" w:color="auto" w:fill="D1D2EA" w:themeFill="accent1" w:themeFillTint="33"/>
          </w:tcPr>
          <w:p w14:paraId="7FC20975" w14:textId="73D474E7"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Social housing entities</w:t>
            </w:r>
          </w:p>
        </w:tc>
        <w:tc>
          <w:tcPr>
            <w:tcW w:w="1417" w:type="dxa"/>
            <w:shd w:val="clear" w:color="auto" w:fill="D1D2EA" w:themeFill="accent1" w:themeFillTint="33"/>
          </w:tcPr>
          <w:p w14:paraId="467B72E9" w14:textId="38F4B75B"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On-bill financing (OBF)</w:t>
            </w:r>
          </w:p>
        </w:tc>
        <w:tc>
          <w:tcPr>
            <w:tcW w:w="1417" w:type="dxa"/>
            <w:shd w:val="clear" w:color="auto" w:fill="D1D2EA" w:themeFill="accent1" w:themeFillTint="33"/>
          </w:tcPr>
          <w:p w14:paraId="08F422B9" w14:textId="0EF0F338"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On-bill repayment (OBR)</w:t>
            </w:r>
          </w:p>
        </w:tc>
      </w:tr>
      <w:tr w:rsidR="004558E4" w14:paraId="12949A94" w14:textId="77777777" w:rsidTr="00447D89">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503BFC85" w14:textId="4EC89B4A"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Lithuania</w:t>
            </w:r>
          </w:p>
        </w:tc>
        <w:tc>
          <w:tcPr>
            <w:tcW w:w="1417" w:type="dxa"/>
            <w:vAlign w:val="center"/>
          </w:tcPr>
          <w:p w14:paraId="285363BE" w14:textId="77777777" w:rsidR="004558E4" w:rsidRPr="006D0ADA"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2226394E" w14:textId="77777777" w:rsidR="004558E4" w:rsidRPr="001339F9" w:rsidRDefault="004558E4" w:rsidP="001339F9">
            <w:pPr>
              <w:pStyle w:val="Listenabsatz"/>
              <w:numPr>
                <w:ilvl w:val="0"/>
                <w:numId w:val="38"/>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F71318A" w14:textId="77777777" w:rsidR="004558E4" w:rsidRPr="001339F9" w:rsidRDefault="004558E4" w:rsidP="001339F9">
            <w:pPr>
              <w:pStyle w:val="Listenabsatz"/>
              <w:numPr>
                <w:ilvl w:val="0"/>
                <w:numId w:val="0"/>
              </w:numPr>
              <w:ind w:left="7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4864A8F"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4EE7181B" w14:textId="77777777" w:rsidR="004558E4" w:rsidRPr="001339F9" w:rsidRDefault="004558E4" w:rsidP="001339F9">
            <w:pPr>
              <w:pStyle w:val="Listenabsatz"/>
              <w:numPr>
                <w:ilvl w:val="0"/>
                <w:numId w:val="38"/>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77449491" w14:textId="77777777" w:rsidTr="00447D89">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6F4A4581" w14:textId="40813F26"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Italy</w:t>
            </w:r>
          </w:p>
        </w:tc>
        <w:tc>
          <w:tcPr>
            <w:tcW w:w="1417" w:type="dxa"/>
            <w:vAlign w:val="center"/>
          </w:tcPr>
          <w:p w14:paraId="0F596385" w14:textId="77777777" w:rsidR="004558E4" w:rsidRPr="006D0ADA"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39B80CCF" w14:textId="77777777"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64D044ED" w14:textId="77777777"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3ADE34B"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0F58D8F" w14:textId="0829857A"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1D1E0194" w14:textId="77777777" w:rsidTr="00447D89">
        <w:trPr>
          <w:trHeight w:val="50"/>
        </w:trPr>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499C50C7" w14:textId="4AA4950E"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Spain</w:t>
            </w:r>
          </w:p>
        </w:tc>
        <w:tc>
          <w:tcPr>
            <w:tcW w:w="1417" w:type="dxa"/>
            <w:vAlign w:val="center"/>
          </w:tcPr>
          <w:p w14:paraId="0CD3AD26" w14:textId="77777777" w:rsidR="004558E4" w:rsidRPr="00FE7A5C"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1A53A370" w14:textId="77777777" w:rsidR="004558E4" w:rsidRPr="001339F9"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15B1CFB7"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CC1D332"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2CFE8AD" w14:textId="08426287" w:rsidR="004558E4" w:rsidRPr="001339F9" w:rsidRDefault="004558E4" w:rsidP="001339F9">
            <w:pPr>
              <w:pStyle w:val="Listenabsatz"/>
              <w:numPr>
                <w:ilvl w:val="0"/>
                <w:numId w:val="36"/>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10D3396B" w14:textId="77777777" w:rsidTr="00447D89">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232F3E3E" w14:textId="2D40D5FB"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Germany</w:t>
            </w:r>
          </w:p>
        </w:tc>
        <w:tc>
          <w:tcPr>
            <w:tcW w:w="1417" w:type="dxa"/>
            <w:vAlign w:val="center"/>
          </w:tcPr>
          <w:p w14:paraId="6673A231" w14:textId="77777777" w:rsidR="004558E4" w:rsidRPr="00FE7A5C"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23D3E2D0" w14:textId="77777777" w:rsidR="004558E4" w:rsidRPr="001339F9"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12B11151"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3C387C4D"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E056A7E" w14:textId="2A9296EA" w:rsidR="004558E4" w:rsidRPr="001339F9" w:rsidRDefault="004558E4" w:rsidP="001339F9">
            <w:pPr>
              <w:pStyle w:val="Listenabsatz"/>
              <w:keepNext/>
              <w:numPr>
                <w:ilvl w:val="0"/>
                <w:numId w:val="36"/>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bl>
    <w:p w14:paraId="7E6DC5DF" w14:textId="34813D65" w:rsidR="00FE69A9" w:rsidRPr="00AC6490" w:rsidRDefault="00FE69A9" w:rsidP="008B2643">
      <w:pPr>
        <w:pStyle w:val="Beschriftung"/>
      </w:pPr>
      <w:bookmarkStart w:id="6" w:name="_GoBack"/>
      <w:bookmarkEnd w:id="6"/>
    </w:p>
    <w:sectPr w:rsidR="00FE69A9" w:rsidRPr="00AC6490" w:rsidSect="0070392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2E8C" w16cex:dateUtc="2020-06-19T10:31:00Z"/>
  <w16cex:commentExtensible w16cex:durableId="22973061" w16cex:dateUtc="2020-06-19T10:38:00Z"/>
  <w16cex:commentExtensible w16cex:durableId="229756FF" w16cex:dateUtc="2020-06-19T13:23:00Z"/>
  <w16cex:commentExtensible w16cex:durableId="229748AE" w16cex:dateUtc="2020-06-19T12:22:00Z"/>
  <w16cex:commentExtensible w16cex:durableId="2297403B" w16cex:dateUtc="2020-06-19T11:46:00Z"/>
  <w16cex:commentExtensible w16cex:durableId="229737AE" w16cex:dateUtc="2020-06-19T11:10:00Z"/>
  <w16cex:commentExtensible w16cex:durableId="229739E8" w16cex:dateUtc="2020-06-19T11:19:00Z"/>
  <w16cex:commentExtensible w16cex:durableId="22973F1C" w16cex:dateUtc="2020-06-19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F472A7" w16cid:durableId="22972E8C"/>
  <w16cid:commentId w16cid:paraId="6B7A9C5B" w16cid:durableId="22973061"/>
  <w16cid:commentId w16cid:paraId="44953157" w16cid:durableId="229756FF"/>
  <w16cid:commentId w16cid:paraId="2E38A730" w16cid:durableId="22962CD0"/>
  <w16cid:commentId w16cid:paraId="5A894AD0" w16cid:durableId="22962CD1"/>
  <w16cid:commentId w16cid:paraId="2E9DE645" w16cid:durableId="22962CD2"/>
  <w16cid:commentId w16cid:paraId="0D7D6D89" w16cid:durableId="22962CD3"/>
  <w16cid:commentId w16cid:paraId="1FDFDF43" w16cid:durableId="22962CD4"/>
  <w16cid:commentId w16cid:paraId="2814B6E2" w16cid:durableId="22962CD5"/>
  <w16cid:commentId w16cid:paraId="34C187A1" w16cid:durableId="22962CD6"/>
  <w16cid:commentId w16cid:paraId="71570501" w16cid:durableId="229748AE"/>
  <w16cid:commentId w16cid:paraId="72C3A673" w16cid:durableId="22962CD7"/>
  <w16cid:commentId w16cid:paraId="6807219A" w16cid:durableId="22962CD8"/>
  <w16cid:commentId w16cid:paraId="2362628B" w16cid:durableId="22962CD9"/>
  <w16cid:commentId w16cid:paraId="7BF19268" w16cid:durableId="2297403B"/>
  <w16cid:commentId w16cid:paraId="285E36D5" w16cid:durableId="22962CDA"/>
  <w16cid:commentId w16cid:paraId="416A4698" w16cid:durableId="22962CDB"/>
  <w16cid:commentId w16cid:paraId="3542C79B" w16cid:durableId="229737AE"/>
  <w16cid:commentId w16cid:paraId="39F7DF43" w16cid:durableId="22962CDC"/>
  <w16cid:commentId w16cid:paraId="753CEE4B" w16cid:durableId="22962CDD"/>
  <w16cid:commentId w16cid:paraId="3132A7D7" w16cid:durableId="229739E8"/>
  <w16cid:commentId w16cid:paraId="213852A2" w16cid:durableId="22962CDE"/>
  <w16cid:commentId w16cid:paraId="08C6E334" w16cid:durableId="22962CDF"/>
  <w16cid:commentId w16cid:paraId="7D25F0CE" w16cid:durableId="22973F1C"/>
  <w16cid:commentId w16cid:paraId="20EB3DD0" w16cid:durableId="22962CE0"/>
  <w16cid:commentId w16cid:paraId="0A09FD4D" w16cid:durableId="22962CE1"/>
  <w16cid:commentId w16cid:paraId="706254CE" w16cid:durableId="22962C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3B47" w14:textId="77777777" w:rsidR="00BC1EA1" w:rsidRDefault="00BC1EA1" w:rsidP="00FE7764">
      <w:r>
        <w:separator/>
      </w:r>
    </w:p>
  </w:endnote>
  <w:endnote w:type="continuationSeparator" w:id="0">
    <w:p w14:paraId="5BF5CB27" w14:textId="77777777" w:rsidR="00BC1EA1" w:rsidRDefault="00BC1EA1" w:rsidP="00FE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mbria"/>
    <w:panose1 w:val="00000000000000000000"/>
    <w:charset w:val="4D"/>
    <w:family w:val="swiss"/>
    <w:notTrueType/>
    <w:pitch w:val="variable"/>
    <w:sig w:usb0="00000003" w:usb1="00000000" w:usb2="00000000" w:usb3="00000000" w:csb0="00000001" w:csb1="00000000"/>
  </w:font>
  <w:font w:name="Open Sans Light">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Arial"/>
    <w:charset w:val="B1"/>
    <w:family w:val="swiss"/>
    <w:pitch w:val="variable"/>
    <w:sig w:usb0="80000A67" w:usb1="00000000" w:usb2="00000000" w:usb3="00000000" w:csb0="000001F7" w:csb1="00000000"/>
  </w:font>
  <w:font w:name="Gill Sans SemiBold">
    <w:altName w:val="Calibri"/>
    <w:charset w:val="00"/>
    <w:family w:val="swiss"/>
    <w:pitch w:val="variable"/>
    <w:sig w:usb0="8000026F" w:usb1="5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E283" w14:textId="77777777" w:rsidR="00B9343C" w:rsidRDefault="00B934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103C" w14:textId="7A77C0B1" w:rsidR="00BC1EA1" w:rsidRDefault="00BC1EA1" w:rsidP="00DF152D">
    <w:pPr>
      <w:pStyle w:val="Fuzeile"/>
    </w:pPr>
    <w:r w:rsidRPr="00483B6E">
      <w:rPr>
        <w:noProof/>
        <w:lang w:val="de-DE" w:eastAsia="de-DE"/>
      </w:rPr>
      <mc:AlternateContent>
        <mc:Choice Requires="wps">
          <w:drawing>
            <wp:anchor distT="0" distB="0" distL="114300" distR="114300" simplePos="0" relativeHeight="251654656" behindDoc="0" locked="0" layoutInCell="1" allowOverlap="1" wp14:anchorId="26CED20D" wp14:editId="754AFC45">
              <wp:simplePos x="0" y="0"/>
              <wp:positionH relativeFrom="column">
                <wp:posOffset>6063615</wp:posOffset>
              </wp:positionH>
              <wp:positionV relativeFrom="paragraph">
                <wp:posOffset>-46990</wp:posOffset>
              </wp:positionV>
              <wp:extent cx="203835" cy="203835"/>
              <wp:effectExtent l="0" t="0" r="5715" b="5715"/>
              <wp:wrapNone/>
              <wp:docPr id="11" name="Oval 9"/>
              <wp:cNvGraphicFramePr/>
              <a:graphic xmlns:a="http://schemas.openxmlformats.org/drawingml/2006/main">
                <a:graphicData uri="http://schemas.microsoft.com/office/word/2010/wordprocessingShape">
                  <wps:wsp>
                    <wps:cNvSpPr/>
                    <wps:spPr>
                      <a:xfrm>
                        <a:off x="0" y="0"/>
                        <a:ext cx="203835" cy="203835"/>
                      </a:xfrm>
                      <a:prstGeom prst="ellipse">
                        <a:avLst/>
                      </a:prstGeom>
                      <a:solidFill>
                        <a:srgbClr val="FAAF1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DEB02B" id="Oval 9" o:spid="_x0000_s1026" style="position:absolute;margin-left:477.45pt;margin-top:-3.7pt;width:16.05pt;height:16.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" fillcolor="#faaf14" stroked="f" strokeweight="2pt"/>
          </w:pict>
        </mc:Fallback>
      </mc:AlternateContent>
    </w:r>
    <w:r w:rsidRPr="00483B6E">
      <w:rPr>
        <w:noProof/>
        <w:lang w:val="de-DE" w:eastAsia="de-DE"/>
      </w:rPr>
      <mc:AlternateContent>
        <mc:Choice Requires="wps">
          <w:drawing>
            <wp:anchor distT="0" distB="0" distL="114300" distR="114300" simplePos="0" relativeHeight="251652608" behindDoc="0" locked="0" layoutInCell="1" allowOverlap="1" wp14:anchorId="35F7B5C9" wp14:editId="4671F712">
              <wp:simplePos x="0" y="0"/>
              <wp:positionH relativeFrom="column">
                <wp:posOffset>3371850</wp:posOffset>
              </wp:positionH>
              <wp:positionV relativeFrom="paragraph">
                <wp:posOffset>55880</wp:posOffset>
              </wp:positionV>
              <wp:extent cx="2807970" cy="0"/>
              <wp:effectExtent l="0" t="19050" r="49530" b="38100"/>
              <wp:wrapNone/>
              <wp:docPr id="8" name="Straight Connector 7">
                <a:extLst xmlns:a="http://schemas.openxmlformats.org/drawingml/2006/main">
                  <a:ext uri="{FF2B5EF4-FFF2-40B4-BE49-F238E27FC236}">
                    <a16:creationId xmlns:a16="http://schemas.microsoft.com/office/drawing/2014/main" id="{EF003F5F-AC53-8B4D-A020-ED1F38D228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7970" cy="0"/>
                      </a:xfrm>
                      <a:prstGeom prst="line">
                        <a:avLst/>
                      </a:prstGeom>
                      <a:ln w="50800">
                        <a:solidFill>
                          <a:srgbClr val="96C3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0DBA6" id="Straight Connector 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4.4pt" to="486.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" strokecolor="#96c3b4" strokeweight="4pt">
              <o:lock v:ext="edit" shapetype="f"/>
            </v:line>
          </w:pict>
        </mc:Fallback>
      </mc:AlternateContent>
    </w:r>
    <w:sdt>
      <w:sdtPr>
        <w:id w:val="342360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7D89">
          <w:rPr>
            <w:noProof/>
          </w:rPr>
          <w:t>9</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F18E" w14:textId="77777777" w:rsidR="00B9343C" w:rsidRDefault="00B934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0C08" w14:textId="77777777" w:rsidR="00BC1EA1" w:rsidRDefault="00BC1EA1" w:rsidP="00FE7764">
      <w:r>
        <w:separator/>
      </w:r>
    </w:p>
  </w:footnote>
  <w:footnote w:type="continuationSeparator" w:id="0">
    <w:p w14:paraId="7FA56482" w14:textId="77777777" w:rsidR="00BC1EA1" w:rsidRDefault="00BC1EA1" w:rsidP="00FE7764">
      <w:r>
        <w:continuationSeparator/>
      </w:r>
    </w:p>
  </w:footnote>
  <w:footnote w:id="1">
    <w:p w14:paraId="53436054" w14:textId="77777777" w:rsidR="004575B4" w:rsidRPr="00C30BDD" w:rsidRDefault="004575B4" w:rsidP="004575B4">
      <w:pPr>
        <w:pStyle w:val="Funotentext"/>
      </w:pPr>
      <w:r>
        <w:rPr>
          <w:rStyle w:val="Funotenzeichen"/>
        </w:rPr>
        <w:footnoteRef/>
      </w:r>
      <w:r>
        <w:t xml:space="preserve"> </w:t>
      </w:r>
      <w:r w:rsidRPr="009F276C">
        <w:t xml:space="preserve">The Basel Accords are </w:t>
      </w:r>
      <w:r>
        <w:t>a</w:t>
      </w:r>
      <w:r w:rsidRPr="009F276C">
        <w:t> series of banking regulations set by the </w:t>
      </w:r>
      <w:hyperlink r:id="rId1" w:history="1">
        <w:r w:rsidRPr="009F276C">
          <w:t>Basel Committee on Bank Supervision</w:t>
        </w:r>
      </w:hyperlink>
      <w:r w:rsidRPr="009F276C">
        <w:t> (BCBS)</w:t>
      </w:r>
      <w:r>
        <w:t>,</w:t>
      </w:r>
      <w:r w:rsidRPr="009F276C">
        <w:t xml:space="preserve"> </w:t>
      </w:r>
      <w:r>
        <w:t xml:space="preserve">which is </w:t>
      </w:r>
      <w:r w:rsidRPr="009F276C">
        <w:t>made up of Central Banks and other banking regulatory authorities from 28 jurisdictions</w:t>
      </w:r>
      <w:r>
        <w:t xml:space="preserve"> (currently it counts</w:t>
      </w:r>
      <w:r w:rsidRPr="009F276C">
        <w:t xml:space="preserve"> 45 members</w:t>
      </w:r>
      <w:r>
        <w:t>)</w:t>
      </w:r>
      <w:r w:rsidRPr="009F276C">
        <w:t xml:space="preserve">. The </w:t>
      </w:r>
      <w:r w:rsidRPr="007B48C4">
        <w:t>BCBS is the primary global standard setter for the prudential regulation of banks and provides a forum for cooperation on banking supervisory matters. Its mandate is to strengthen the regulation, supervision and practices of banks worldwide with the purpose of enhancing financial stability</w:t>
      </w:r>
      <w:r w:rsidRPr="009F276C">
        <w:t>.</w:t>
      </w:r>
      <w:r>
        <w:t>(</w:t>
      </w:r>
      <w:hyperlink r:id="rId2" w:history="1">
        <w:r>
          <w:rPr>
            <w:rStyle w:val="Hyperlink"/>
          </w:rPr>
          <w:t>https://www.bis.org/bcbs/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06A0" w14:textId="77777777" w:rsidR="00B9343C" w:rsidRDefault="00B934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DBBE" w14:textId="61603DD1" w:rsidR="00BC1EA1" w:rsidRPr="001A1305" w:rsidRDefault="00BC1EA1" w:rsidP="00CE38EB">
    <w:pPr>
      <w:pStyle w:val="Fuzeile"/>
      <w:tabs>
        <w:tab w:val="center" w:pos="-4820"/>
        <w:tab w:val="left" w:pos="1343"/>
        <w:tab w:val="right" w:pos="9639"/>
      </w:tabs>
      <w:rPr>
        <w:rStyle w:val="Hervorhebung"/>
        <w:i w:val="0"/>
      </w:rPr>
    </w:pPr>
    <w:r w:rsidRPr="00B9343C">
      <w:rPr>
        <w:rFonts w:asciiTheme="majorHAnsi" w:hAnsiTheme="majorHAnsi"/>
        <w:noProof/>
        <w:lang w:val="de-DE" w:eastAsia="de-DE"/>
      </w:rPr>
      <w:drawing>
        <wp:anchor distT="0" distB="0" distL="114300" distR="114300" simplePos="0" relativeHeight="251681792" behindDoc="0" locked="0" layoutInCell="1" allowOverlap="1" wp14:anchorId="2FD739CA" wp14:editId="6EAEF014">
          <wp:simplePos x="0" y="0"/>
          <wp:positionH relativeFrom="margin">
            <wp:posOffset>4678680</wp:posOffset>
          </wp:positionH>
          <wp:positionV relativeFrom="paragraph">
            <wp:posOffset>-222250</wp:posOffset>
          </wp:positionV>
          <wp:extent cx="1424305" cy="739775"/>
          <wp:effectExtent l="0" t="0" r="4445" b="3175"/>
          <wp:wrapSquare wrapText="bothSides"/>
          <wp:docPr id="10" name="Picture 10" descr="A picture containing clip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ONBILL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739775"/>
                  </a:xfrm>
                  <a:prstGeom prst="rect">
                    <a:avLst/>
                  </a:prstGeom>
                </pic:spPr>
              </pic:pic>
            </a:graphicData>
          </a:graphic>
          <wp14:sizeRelH relativeFrom="margin">
            <wp14:pctWidth>0</wp14:pctWidth>
          </wp14:sizeRelH>
          <wp14:sizeRelV relativeFrom="margin">
            <wp14:pctHeight>0</wp14:pctHeight>
          </wp14:sizeRelV>
        </wp:anchor>
      </w:drawing>
    </w:r>
  </w:p>
  <w:p w14:paraId="5069AF37" w14:textId="77777777" w:rsidR="00BC1EA1" w:rsidRDefault="00BC1EA1" w:rsidP="00CE38EB">
    <w:pPr>
      <w:pStyle w:val="Fuzeile"/>
      <w:tabs>
        <w:tab w:val="center" w:pos="-4820"/>
        <w:tab w:val="left" w:pos="1343"/>
        <w:tab w:val="right" w:pos="9639"/>
      </w:tabs>
      <w:rPr>
        <w:rStyle w:val="Hervorhebung"/>
      </w:rPr>
    </w:pPr>
  </w:p>
  <w:p w14:paraId="0AE0F231" w14:textId="39259B7F" w:rsidR="00BC1EA1" w:rsidRPr="006C6B3E" w:rsidRDefault="00BC1EA1" w:rsidP="00CE38EB">
    <w:pPr>
      <w:pStyle w:val="Fuzeile"/>
      <w:tabs>
        <w:tab w:val="center" w:pos="-4820"/>
        <w:tab w:val="left" w:pos="1343"/>
        <w:tab w:val="right" w:pos="9639"/>
      </w:tabs>
      <w:rPr>
        <w:rFonts w:ascii="Gill Sans Light" w:hAnsi="Gill Sans Light" w:cs="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B1FE" w14:textId="77777777" w:rsidR="00B9343C" w:rsidRDefault="00B934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66C"/>
    <w:multiLevelType w:val="hybridMultilevel"/>
    <w:tmpl w:val="E7CC3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8775B"/>
    <w:multiLevelType w:val="hybridMultilevel"/>
    <w:tmpl w:val="5526E7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FF3EF6"/>
    <w:multiLevelType w:val="hybridMultilevel"/>
    <w:tmpl w:val="B4BAFA64"/>
    <w:lvl w:ilvl="0" w:tplc="6A4C5136">
      <w:start w:val="1"/>
      <w:numFmt w:val="decimal"/>
      <w:lvlText w:val="(%1)"/>
      <w:lvlJc w:val="left"/>
      <w:pPr>
        <w:ind w:left="720" w:hanging="360"/>
      </w:pPr>
      <w:rPr>
        <w:rFonts w:ascii="ITC Avant Garde Std Bk" w:eastAsiaTheme="minorHAnsi" w:hAnsi="ITC Avant Garde Std Bk" w:cs="Open Sans Ligh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ED4B71"/>
    <w:multiLevelType w:val="hybridMultilevel"/>
    <w:tmpl w:val="0F72E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295D12"/>
    <w:multiLevelType w:val="hybridMultilevel"/>
    <w:tmpl w:val="A8D4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A21B0"/>
    <w:multiLevelType w:val="hybridMultilevel"/>
    <w:tmpl w:val="1BB07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9D2567"/>
    <w:multiLevelType w:val="hybridMultilevel"/>
    <w:tmpl w:val="4F8407C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D53524"/>
    <w:multiLevelType w:val="hybridMultilevel"/>
    <w:tmpl w:val="6CA08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C528BF"/>
    <w:multiLevelType w:val="hybridMultilevel"/>
    <w:tmpl w:val="9C38B08E"/>
    <w:lvl w:ilvl="0" w:tplc="C5CC959C">
      <w:start w:val="1"/>
      <w:numFmt w:val="bullet"/>
      <w:pStyle w:val="Listenabsatz"/>
      <w:lvlText w:val=""/>
      <w:lvlJc w:val="left"/>
      <w:pPr>
        <w:ind w:left="720" w:hanging="360"/>
      </w:pPr>
      <w:rPr>
        <w:rFonts w:ascii="Symbol" w:hAnsi="Symbol" w:hint="default"/>
        <w:color w:val="FAAF14" w:themeColor="accent3"/>
      </w:rPr>
    </w:lvl>
    <w:lvl w:ilvl="1" w:tplc="CA665E90">
      <w:start w:val="1"/>
      <w:numFmt w:val="bullet"/>
      <w:pStyle w:val="Bulletpointslevel2"/>
      <w:lvlText w:val=""/>
      <w:lvlJc w:val="left"/>
      <w:pPr>
        <w:ind w:left="1440" w:hanging="360"/>
      </w:pPr>
      <w:rPr>
        <w:rFonts w:ascii="Symbol" w:hAnsi="Symbol" w:hint="default"/>
        <w:b/>
        <w:i w:val="0"/>
        <w:color w:val="BD4475" w:themeColor="accent4"/>
      </w:rPr>
    </w:lvl>
    <w:lvl w:ilvl="2" w:tplc="8786B5D0">
      <w:start w:val="1"/>
      <w:numFmt w:val="bullet"/>
      <w:pStyle w:val="bulletpoints-level3"/>
      <w:lvlText w:val=""/>
      <w:lvlJc w:val="left"/>
      <w:pPr>
        <w:ind w:left="2160" w:hanging="360"/>
      </w:pPr>
      <w:rPr>
        <w:rFonts w:ascii="Wingdings" w:hAnsi="Wingdings" w:hint="default"/>
        <w:color w:val="009187"/>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D3059"/>
    <w:multiLevelType w:val="hybridMultilevel"/>
    <w:tmpl w:val="6F266A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081C91"/>
    <w:multiLevelType w:val="hybridMultilevel"/>
    <w:tmpl w:val="AF18BED4"/>
    <w:lvl w:ilvl="0" w:tplc="6B421F68">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361B56"/>
    <w:multiLevelType w:val="hybridMultilevel"/>
    <w:tmpl w:val="A48AA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E83CA3"/>
    <w:multiLevelType w:val="hybridMultilevel"/>
    <w:tmpl w:val="95F8EAF4"/>
    <w:lvl w:ilvl="0" w:tplc="DA14B300">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5B47F1C"/>
    <w:multiLevelType w:val="hybridMultilevel"/>
    <w:tmpl w:val="3650ED1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84E538F"/>
    <w:multiLevelType w:val="multilevel"/>
    <w:tmpl w:val="9EB4FFBA"/>
    <w:lvl w:ilvl="0">
      <w:start w:val="1"/>
      <w:numFmt w:val="decimal"/>
      <w:lvlText w:val="%1"/>
      <w:lvlJc w:val="left"/>
      <w:pPr>
        <w:ind w:left="360" w:hanging="36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0" w:firstLine="0"/>
      </w:pPr>
      <w:rPr>
        <w:rFonts w:ascii="Arial" w:hAnsi="Arial" w:cs="Arial" w:hint="default"/>
        <w:color w:val="9B0014"/>
      </w:rPr>
    </w:lvl>
    <w:lvl w:ilvl="4">
      <w:start w:val="1"/>
      <w:numFmt w:val="decimal"/>
      <w:lvlText w:val="%1.%2.%3.%4.%5"/>
      <w:lvlJc w:val="left"/>
      <w:pPr>
        <w:tabs>
          <w:tab w:val="num" w:pos="1576"/>
        </w:tabs>
        <w:ind w:left="568"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435AFC"/>
    <w:multiLevelType w:val="hybridMultilevel"/>
    <w:tmpl w:val="9174B3F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D75C56"/>
    <w:multiLevelType w:val="hybridMultilevel"/>
    <w:tmpl w:val="095673C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16F08E5"/>
    <w:multiLevelType w:val="hybridMultilevel"/>
    <w:tmpl w:val="C1F454D8"/>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D034243"/>
    <w:multiLevelType w:val="hybridMultilevel"/>
    <w:tmpl w:val="92BCB28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D8C37B4"/>
    <w:multiLevelType w:val="hybridMultilevel"/>
    <w:tmpl w:val="098A4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2D7A15"/>
    <w:multiLevelType w:val="hybridMultilevel"/>
    <w:tmpl w:val="742411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764F9C"/>
    <w:multiLevelType w:val="hybridMultilevel"/>
    <w:tmpl w:val="9208A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66244"/>
    <w:multiLevelType w:val="hybridMultilevel"/>
    <w:tmpl w:val="3F8C3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0B1AD7"/>
    <w:multiLevelType w:val="hybridMultilevel"/>
    <w:tmpl w:val="FA52A5C6"/>
    <w:lvl w:ilvl="0" w:tplc="F3940344">
      <w:numFmt w:val="bullet"/>
      <w:lvlText w:val="-"/>
      <w:lvlJc w:val="left"/>
      <w:pPr>
        <w:ind w:left="720" w:hanging="360"/>
      </w:pPr>
      <w:rPr>
        <w:rFonts w:ascii="ITC Avant Garde Std Bk" w:eastAsiaTheme="minorHAnsi" w:hAnsi="ITC Avant Garde Std Bk"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E40055"/>
    <w:multiLevelType w:val="hybridMultilevel"/>
    <w:tmpl w:val="D766EF6E"/>
    <w:lvl w:ilvl="0" w:tplc="1870FE68">
      <w:start w:val="1"/>
      <w:numFmt w:val="lowerLetter"/>
      <w:lvlText w:val="%1)"/>
      <w:lvlJc w:val="left"/>
      <w:pPr>
        <w:ind w:left="720" w:hanging="360"/>
      </w:pPr>
      <w:rPr>
        <w:rFonts w:ascii="ITC Avant Garde Std Bk" w:eastAsiaTheme="minorHAnsi" w:hAnsi="ITC Avant Garde Std Bk" w:cs="Open Sans Ligh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3203E8"/>
    <w:multiLevelType w:val="hybridMultilevel"/>
    <w:tmpl w:val="25B0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5B10FB"/>
    <w:multiLevelType w:val="hybridMultilevel"/>
    <w:tmpl w:val="BAC835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10C09"/>
    <w:multiLevelType w:val="hybridMultilevel"/>
    <w:tmpl w:val="B5841746"/>
    <w:lvl w:ilvl="0" w:tplc="6B421F6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73B13FF"/>
    <w:multiLevelType w:val="hybridMultilevel"/>
    <w:tmpl w:val="54EEA688"/>
    <w:lvl w:ilvl="0" w:tplc="A1223348">
      <w:numFmt w:val="bullet"/>
      <w:lvlText w:val=""/>
      <w:lvlJc w:val="left"/>
      <w:pPr>
        <w:ind w:left="720" w:hanging="360"/>
      </w:pPr>
      <w:rPr>
        <w:rFonts w:ascii="Wingdings" w:eastAsiaTheme="minorHAnsi" w:hAnsi="Wingdings"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B823C4"/>
    <w:multiLevelType w:val="hybridMultilevel"/>
    <w:tmpl w:val="4338221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21E1B"/>
    <w:multiLevelType w:val="hybridMultilevel"/>
    <w:tmpl w:val="38B4D3F6"/>
    <w:lvl w:ilvl="0" w:tplc="6B421F6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D7919A7"/>
    <w:multiLevelType w:val="multilevel"/>
    <w:tmpl w:val="23DE5420"/>
    <w:lvl w:ilvl="0">
      <w:start w:val="1"/>
      <w:numFmt w:val="decimal"/>
      <w:pStyle w:val="berschrift1"/>
      <w:lvlText w:val="%1"/>
      <w:lvlJc w:val="left"/>
      <w:pPr>
        <w:ind w:left="702" w:hanging="432"/>
      </w:pPr>
    </w:lvl>
    <w:lvl w:ilvl="1">
      <w:start w:val="1"/>
      <w:numFmt w:val="decimal"/>
      <w:pStyle w:val="berschrift2"/>
      <w:lvlText w:val="%1.%2"/>
      <w:lvlJc w:val="left"/>
      <w:pPr>
        <w:ind w:left="846" w:hanging="576"/>
      </w:pPr>
    </w:lvl>
    <w:lvl w:ilvl="2">
      <w:start w:val="1"/>
      <w:numFmt w:val="decimal"/>
      <w:lvlText w:val="%1.%2.%3"/>
      <w:lvlJc w:val="left"/>
      <w:pPr>
        <w:ind w:left="990" w:hanging="720"/>
      </w:pPr>
    </w:lvl>
    <w:lvl w:ilvl="3">
      <w:start w:val="1"/>
      <w:numFmt w:val="decimal"/>
      <w:lvlText w:val="%1.%2.%3.%4"/>
      <w:lvlJc w:val="left"/>
      <w:pPr>
        <w:ind w:left="1134" w:hanging="864"/>
      </w:pPr>
    </w:lvl>
    <w:lvl w:ilvl="4">
      <w:start w:val="1"/>
      <w:numFmt w:val="decimal"/>
      <w:lvlText w:val="%1.%2.%3.%4.%5"/>
      <w:lvlJc w:val="left"/>
      <w:pPr>
        <w:ind w:left="1278" w:hanging="1008"/>
      </w:pPr>
    </w:lvl>
    <w:lvl w:ilvl="5">
      <w:start w:val="1"/>
      <w:numFmt w:val="decimal"/>
      <w:pStyle w:val="berschrift6"/>
      <w:lvlText w:val="%1.%2.%3.%4.%5.%6"/>
      <w:lvlJc w:val="left"/>
      <w:pPr>
        <w:ind w:left="1422" w:hanging="1152"/>
      </w:pPr>
    </w:lvl>
    <w:lvl w:ilvl="6">
      <w:start w:val="1"/>
      <w:numFmt w:val="decimal"/>
      <w:pStyle w:val="berschrift7"/>
      <w:lvlText w:val="%1.%2.%3.%4.%5.%6.%7"/>
      <w:lvlJc w:val="left"/>
      <w:pPr>
        <w:ind w:left="1566" w:hanging="1296"/>
      </w:pPr>
    </w:lvl>
    <w:lvl w:ilvl="7">
      <w:start w:val="1"/>
      <w:numFmt w:val="decimal"/>
      <w:pStyle w:val="berschrift8"/>
      <w:lvlText w:val="%1.%2.%3.%4.%5.%6.%7.%8"/>
      <w:lvlJc w:val="left"/>
      <w:pPr>
        <w:ind w:left="1710" w:hanging="1440"/>
      </w:pPr>
    </w:lvl>
    <w:lvl w:ilvl="8">
      <w:start w:val="1"/>
      <w:numFmt w:val="decimal"/>
      <w:pStyle w:val="berschrift9"/>
      <w:lvlText w:val="%1.%2.%3.%4.%5.%6.%7.%8.%9"/>
      <w:lvlJc w:val="left"/>
      <w:pPr>
        <w:ind w:left="1854" w:hanging="1584"/>
      </w:pPr>
    </w:lvl>
  </w:abstractNum>
  <w:abstractNum w:abstractNumId="32" w15:restartNumberingAfterBreak="0">
    <w:nsid w:val="6E22616A"/>
    <w:multiLevelType w:val="hybridMultilevel"/>
    <w:tmpl w:val="9E18A6F8"/>
    <w:lvl w:ilvl="0" w:tplc="403CC9C2">
      <w:numFmt w:val="bullet"/>
      <w:lvlText w:val="-"/>
      <w:lvlJc w:val="left"/>
      <w:pPr>
        <w:ind w:left="720" w:hanging="360"/>
      </w:pPr>
      <w:rPr>
        <w:rFonts w:ascii="ITC Avant Garde Std Bk" w:eastAsiaTheme="minorHAnsi" w:hAnsi="ITC Avant Garde Std Bk"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4E7614"/>
    <w:multiLevelType w:val="hybridMultilevel"/>
    <w:tmpl w:val="599AD2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3876A4"/>
    <w:multiLevelType w:val="hybridMultilevel"/>
    <w:tmpl w:val="0F92BA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B839CB"/>
    <w:multiLevelType w:val="hybridMultilevel"/>
    <w:tmpl w:val="BE122E86"/>
    <w:lvl w:ilvl="0" w:tplc="6B421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345D11"/>
    <w:multiLevelType w:val="hybridMultilevel"/>
    <w:tmpl w:val="5418B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DE221E"/>
    <w:multiLevelType w:val="hybridMultilevel"/>
    <w:tmpl w:val="0032F58C"/>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E414C3C"/>
    <w:multiLevelType w:val="hybridMultilevel"/>
    <w:tmpl w:val="E19812BC"/>
    <w:lvl w:ilvl="0" w:tplc="F58A53FE">
      <w:start w:val="1"/>
      <w:numFmt w:val="bullet"/>
      <w:pStyle w:val="Aufzhlungrot"/>
      <w:lvlText w:val=""/>
      <w:lvlJc w:val="left"/>
      <w:pPr>
        <w:tabs>
          <w:tab w:val="num" w:pos="227"/>
        </w:tabs>
        <w:ind w:left="227" w:hanging="227"/>
      </w:pPr>
      <w:rPr>
        <w:rFonts w:ascii="Symbol" w:hAnsi="Symbol" w:hint="default"/>
        <w:color w:val="9B0014"/>
      </w:rPr>
    </w:lvl>
    <w:lvl w:ilvl="1" w:tplc="F626AD70">
      <w:start w:val="1"/>
      <w:numFmt w:val="bullet"/>
      <w:lvlText w:val="o"/>
      <w:lvlJc w:val="left"/>
      <w:pPr>
        <w:tabs>
          <w:tab w:val="num" w:pos="1353"/>
        </w:tabs>
        <w:ind w:left="1353" w:hanging="360"/>
      </w:pPr>
      <w:rPr>
        <w:rFonts w:ascii="Courier New" w:hAnsi="Courier New" w:cs="Courier New" w:hint="default"/>
        <w:color w:val="960014"/>
      </w:rPr>
    </w:lvl>
    <w:lvl w:ilvl="2" w:tplc="84424A80">
      <w:start w:val="1"/>
      <w:numFmt w:val="bullet"/>
      <w:lvlText w:val=""/>
      <w:lvlJc w:val="left"/>
      <w:pPr>
        <w:tabs>
          <w:tab w:val="num" w:pos="2160"/>
        </w:tabs>
        <w:ind w:left="2160" w:hanging="360"/>
      </w:pPr>
      <w:rPr>
        <w:rFonts w:ascii="Wingdings" w:hAnsi="Wingdings" w:hint="default"/>
        <w:color w:val="960014"/>
      </w:rPr>
    </w:lvl>
    <w:lvl w:ilvl="3" w:tplc="495EF328">
      <w:start w:val="1"/>
      <w:numFmt w:val="bullet"/>
      <w:lvlText w:val=""/>
      <w:lvlJc w:val="left"/>
      <w:pPr>
        <w:tabs>
          <w:tab w:val="num" w:pos="2880"/>
        </w:tabs>
        <w:ind w:left="2880" w:hanging="360"/>
      </w:pPr>
      <w:rPr>
        <w:rFonts w:ascii="Symbol" w:hAnsi="Symbol" w:hint="default"/>
        <w:color w:val="960014"/>
      </w:rPr>
    </w:lvl>
    <w:lvl w:ilvl="4" w:tplc="4B6CD456">
      <w:start w:val="1"/>
      <w:numFmt w:val="bullet"/>
      <w:lvlText w:val="o"/>
      <w:lvlJc w:val="left"/>
      <w:pPr>
        <w:tabs>
          <w:tab w:val="num" w:pos="3600"/>
        </w:tabs>
        <w:ind w:left="3600" w:hanging="360"/>
      </w:pPr>
      <w:rPr>
        <w:rFonts w:ascii="Courier New" w:hAnsi="Courier New" w:cs="Courier New" w:hint="default"/>
        <w:color w:val="960014"/>
      </w:rPr>
    </w:lvl>
    <w:lvl w:ilvl="5" w:tplc="A29A8CBE">
      <w:start w:val="1"/>
      <w:numFmt w:val="bullet"/>
      <w:lvlText w:val=""/>
      <w:lvlJc w:val="left"/>
      <w:pPr>
        <w:tabs>
          <w:tab w:val="num" w:pos="4320"/>
        </w:tabs>
        <w:ind w:left="4320" w:hanging="360"/>
      </w:pPr>
      <w:rPr>
        <w:rFonts w:ascii="Wingdings" w:hAnsi="Wingdings" w:hint="default"/>
        <w:color w:val="960014"/>
      </w:rPr>
    </w:lvl>
    <w:lvl w:ilvl="6" w:tplc="8B42DF0C">
      <w:start w:val="1"/>
      <w:numFmt w:val="bullet"/>
      <w:lvlText w:val=""/>
      <w:lvlJc w:val="left"/>
      <w:pPr>
        <w:tabs>
          <w:tab w:val="num" w:pos="5040"/>
        </w:tabs>
        <w:ind w:left="5040" w:hanging="360"/>
      </w:pPr>
      <w:rPr>
        <w:rFonts w:ascii="Symbol" w:hAnsi="Symbol" w:hint="default"/>
        <w:color w:val="960014"/>
      </w:rPr>
    </w:lvl>
    <w:lvl w:ilvl="7" w:tplc="27A2CE80">
      <w:start w:val="1"/>
      <w:numFmt w:val="bullet"/>
      <w:lvlText w:val="o"/>
      <w:lvlJc w:val="left"/>
      <w:pPr>
        <w:tabs>
          <w:tab w:val="num" w:pos="5760"/>
        </w:tabs>
        <w:ind w:left="5760" w:hanging="360"/>
      </w:pPr>
      <w:rPr>
        <w:rFonts w:ascii="Courier New" w:hAnsi="Courier New" w:cs="Courier New" w:hint="default"/>
        <w:color w:val="960014"/>
      </w:rPr>
    </w:lvl>
    <w:lvl w:ilvl="8" w:tplc="064271A2">
      <w:start w:val="1"/>
      <w:numFmt w:val="bullet"/>
      <w:lvlText w:val=""/>
      <w:lvlJc w:val="left"/>
      <w:pPr>
        <w:tabs>
          <w:tab w:val="num" w:pos="6480"/>
        </w:tabs>
        <w:ind w:left="6480" w:hanging="360"/>
      </w:pPr>
      <w:rPr>
        <w:rFonts w:ascii="Wingdings" w:hAnsi="Wingdings" w:hint="default"/>
        <w:color w:val="960014"/>
      </w:rPr>
    </w:lvl>
  </w:abstractNum>
  <w:num w:numId="1">
    <w:abstractNumId w:val="8"/>
  </w:num>
  <w:num w:numId="2">
    <w:abstractNumId w:val="31"/>
  </w:num>
  <w:num w:numId="3">
    <w:abstractNumId w:val="2"/>
  </w:num>
  <w:num w:numId="4">
    <w:abstractNumId w:val="6"/>
  </w:num>
  <w:num w:numId="5">
    <w:abstractNumId w:val="5"/>
  </w:num>
  <w:num w:numId="6">
    <w:abstractNumId w:val="22"/>
  </w:num>
  <w:num w:numId="7">
    <w:abstractNumId w:val="35"/>
  </w:num>
  <w:num w:numId="8">
    <w:abstractNumId w:val="10"/>
  </w:num>
  <w:num w:numId="9">
    <w:abstractNumId w:val="11"/>
  </w:num>
  <w:num w:numId="10">
    <w:abstractNumId w:val="21"/>
  </w:num>
  <w:num w:numId="11">
    <w:abstractNumId w:val="4"/>
  </w:num>
  <w:num w:numId="12">
    <w:abstractNumId w:val="19"/>
  </w:num>
  <w:num w:numId="13">
    <w:abstractNumId w:val="7"/>
  </w:num>
  <w:num w:numId="14">
    <w:abstractNumId w:val="23"/>
  </w:num>
  <w:num w:numId="15">
    <w:abstractNumId w:val="32"/>
  </w:num>
  <w:num w:numId="16">
    <w:abstractNumId w:val="24"/>
  </w:num>
  <w:num w:numId="17">
    <w:abstractNumId w:val="36"/>
  </w:num>
  <w:num w:numId="18">
    <w:abstractNumId w:val="0"/>
  </w:num>
  <w:num w:numId="19">
    <w:abstractNumId w:val="28"/>
  </w:num>
  <w:num w:numId="20">
    <w:abstractNumId w:val="17"/>
  </w:num>
  <w:num w:numId="21">
    <w:abstractNumId w:val="37"/>
  </w:num>
  <w:num w:numId="22">
    <w:abstractNumId w:val="15"/>
  </w:num>
  <w:num w:numId="23">
    <w:abstractNumId w:val="1"/>
  </w:num>
  <w:num w:numId="24">
    <w:abstractNumId w:val="38"/>
  </w:num>
  <w:num w:numId="25">
    <w:abstractNumId w:val="34"/>
  </w:num>
  <w:num w:numId="26">
    <w:abstractNumId w:val="12"/>
  </w:num>
  <w:num w:numId="27">
    <w:abstractNumId w:val="14"/>
  </w:num>
  <w:num w:numId="28">
    <w:abstractNumId w:val="27"/>
  </w:num>
  <w:num w:numId="29">
    <w:abstractNumId w:val="30"/>
  </w:num>
  <w:num w:numId="30">
    <w:abstractNumId w:val="25"/>
  </w:num>
  <w:num w:numId="31">
    <w:abstractNumId w:val="9"/>
  </w:num>
  <w:num w:numId="32">
    <w:abstractNumId w:val="13"/>
  </w:num>
  <w:num w:numId="33">
    <w:abstractNumId w:val="16"/>
  </w:num>
  <w:num w:numId="34">
    <w:abstractNumId w:val="29"/>
  </w:num>
  <w:num w:numId="35">
    <w:abstractNumId w:val="33"/>
  </w:num>
  <w:num w:numId="36">
    <w:abstractNumId w:val="20"/>
  </w:num>
  <w:num w:numId="37">
    <w:abstractNumId w:val="18"/>
  </w:num>
  <w:num w:numId="38">
    <w:abstractNumId w:val="26"/>
  </w:num>
  <w:num w:numId="39">
    <w:abstractNumId w:val="31"/>
  </w:num>
  <w:num w:numId="40">
    <w:abstractNumId w:val="8"/>
  </w:num>
  <w:num w:numId="41">
    <w:abstractNumId w:val="3"/>
  </w:num>
  <w:num w:numId="42">
    <w:abstractNumId w:val="31"/>
  </w:num>
  <w:num w:numId="4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C4"/>
    <w:rsid w:val="00000037"/>
    <w:rsid w:val="0000783B"/>
    <w:rsid w:val="000147B3"/>
    <w:rsid w:val="0001671E"/>
    <w:rsid w:val="000226AA"/>
    <w:rsid w:val="00024CB0"/>
    <w:rsid w:val="000311AD"/>
    <w:rsid w:val="000326F3"/>
    <w:rsid w:val="000457AD"/>
    <w:rsid w:val="00045A83"/>
    <w:rsid w:val="00045BE2"/>
    <w:rsid w:val="000477D8"/>
    <w:rsid w:val="00052C95"/>
    <w:rsid w:val="00056B48"/>
    <w:rsid w:val="00056EA5"/>
    <w:rsid w:val="000628DB"/>
    <w:rsid w:val="00063D7C"/>
    <w:rsid w:val="0006586D"/>
    <w:rsid w:val="000701E6"/>
    <w:rsid w:val="00075A9D"/>
    <w:rsid w:val="00075B28"/>
    <w:rsid w:val="0008188B"/>
    <w:rsid w:val="0008195E"/>
    <w:rsid w:val="000824B0"/>
    <w:rsid w:val="0009116D"/>
    <w:rsid w:val="00092C14"/>
    <w:rsid w:val="00093AF7"/>
    <w:rsid w:val="00094479"/>
    <w:rsid w:val="00096B3A"/>
    <w:rsid w:val="000A0D19"/>
    <w:rsid w:val="000B1058"/>
    <w:rsid w:val="000B1C27"/>
    <w:rsid w:val="000B4209"/>
    <w:rsid w:val="000B5B9D"/>
    <w:rsid w:val="000C3D39"/>
    <w:rsid w:val="000C6C70"/>
    <w:rsid w:val="000D1C41"/>
    <w:rsid w:val="000D4356"/>
    <w:rsid w:val="000D58F0"/>
    <w:rsid w:val="000D6348"/>
    <w:rsid w:val="000D64C5"/>
    <w:rsid w:val="000E1D77"/>
    <w:rsid w:val="000E3E10"/>
    <w:rsid w:val="000E7392"/>
    <w:rsid w:val="000F02C4"/>
    <w:rsid w:val="000F1AC0"/>
    <w:rsid w:val="000F373E"/>
    <w:rsid w:val="000F62A6"/>
    <w:rsid w:val="000F7784"/>
    <w:rsid w:val="00105C7E"/>
    <w:rsid w:val="0011060A"/>
    <w:rsid w:val="00112E45"/>
    <w:rsid w:val="00113096"/>
    <w:rsid w:val="00122F4F"/>
    <w:rsid w:val="00124456"/>
    <w:rsid w:val="00126A56"/>
    <w:rsid w:val="001278F3"/>
    <w:rsid w:val="00133277"/>
    <w:rsid w:val="001339F9"/>
    <w:rsid w:val="0013538B"/>
    <w:rsid w:val="00142085"/>
    <w:rsid w:val="00142874"/>
    <w:rsid w:val="00146356"/>
    <w:rsid w:val="00146D13"/>
    <w:rsid w:val="001520F2"/>
    <w:rsid w:val="00154D00"/>
    <w:rsid w:val="00156CF4"/>
    <w:rsid w:val="00160073"/>
    <w:rsid w:val="00162E2C"/>
    <w:rsid w:val="00170EB4"/>
    <w:rsid w:val="0017240A"/>
    <w:rsid w:val="00172993"/>
    <w:rsid w:val="00176526"/>
    <w:rsid w:val="00190D0F"/>
    <w:rsid w:val="00194604"/>
    <w:rsid w:val="00197C50"/>
    <w:rsid w:val="001A0B3B"/>
    <w:rsid w:val="001A1305"/>
    <w:rsid w:val="001A38E5"/>
    <w:rsid w:val="001A59BF"/>
    <w:rsid w:val="001B33C1"/>
    <w:rsid w:val="001B3C25"/>
    <w:rsid w:val="001B4C0D"/>
    <w:rsid w:val="001B7219"/>
    <w:rsid w:val="001C0F3F"/>
    <w:rsid w:val="001C2B61"/>
    <w:rsid w:val="001C3369"/>
    <w:rsid w:val="001C4BA9"/>
    <w:rsid w:val="001E0AC2"/>
    <w:rsid w:val="001E25E3"/>
    <w:rsid w:val="001E3529"/>
    <w:rsid w:val="001F544D"/>
    <w:rsid w:val="001F5CAD"/>
    <w:rsid w:val="001F5F65"/>
    <w:rsid w:val="00200ABC"/>
    <w:rsid w:val="00210E10"/>
    <w:rsid w:val="0021269E"/>
    <w:rsid w:val="00216980"/>
    <w:rsid w:val="0021700C"/>
    <w:rsid w:val="0023251A"/>
    <w:rsid w:val="002327C9"/>
    <w:rsid w:val="00232B60"/>
    <w:rsid w:val="00234985"/>
    <w:rsid w:val="00240173"/>
    <w:rsid w:val="00245233"/>
    <w:rsid w:val="00247BBA"/>
    <w:rsid w:val="00251FB0"/>
    <w:rsid w:val="00255752"/>
    <w:rsid w:val="00261718"/>
    <w:rsid w:val="00261B7C"/>
    <w:rsid w:val="00262DC1"/>
    <w:rsid w:val="002636F6"/>
    <w:rsid w:val="00274970"/>
    <w:rsid w:val="00274CC2"/>
    <w:rsid w:val="00284C1E"/>
    <w:rsid w:val="002860EB"/>
    <w:rsid w:val="00286C8B"/>
    <w:rsid w:val="00287F7A"/>
    <w:rsid w:val="00292352"/>
    <w:rsid w:val="00292EA8"/>
    <w:rsid w:val="00296348"/>
    <w:rsid w:val="002A1B00"/>
    <w:rsid w:val="002A1B52"/>
    <w:rsid w:val="002A566F"/>
    <w:rsid w:val="002A5789"/>
    <w:rsid w:val="002A6441"/>
    <w:rsid w:val="002A75A5"/>
    <w:rsid w:val="002B025D"/>
    <w:rsid w:val="002B1075"/>
    <w:rsid w:val="002B6B15"/>
    <w:rsid w:val="002C4C97"/>
    <w:rsid w:val="002E75B1"/>
    <w:rsid w:val="002F2FBD"/>
    <w:rsid w:val="002F4D4D"/>
    <w:rsid w:val="002F58DE"/>
    <w:rsid w:val="002F7C0D"/>
    <w:rsid w:val="002F7DC8"/>
    <w:rsid w:val="003031FB"/>
    <w:rsid w:val="00304675"/>
    <w:rsid w:val="003217D9"/>
    <w:rsid w:val="00322F7E"/>
    <w:rsid w:val="00326E2E"/>
    <w:rsid w:val="00327125"/>
    <w:rsid w:val="003312B5"/>
    <w:rsid w:val="003370D6"/>
    <w:rsid w:val="00341876"/>
    <w:rsid w:val="00342EB6"/>
    <w:rsid w:val="003462CD"/>
    <w:rsid w:val="003523C5"/>
    <w:rsid w:val="003533D0"/>
    <w:rsid w:val="00356A7D"/>
    <w:rsid w:val="00356C57"/>
    <w:rsid w:val="003615A9"/>
    <w:rsid w:val="00364814"/>
    <w:rsid w:val="00365B6E"/>
    <w:rsid w:val="00371A3C"/>
    <w:rsid w:val="00375610"/>
    <w:rsid w:val="003760FB"/>
    <w:rsid w:val="00376FA1"/>
    <w:rsid w:val="00380531"/>
    <w:rsid w:val="003824AB"/>
    <w:rsid w:val="0038454A"/>
    <w:rsid w:val="00385F65"/>
    <w:rsid w:val="00386D03"/>
    <w:rsid w:val="00386D87"/>
    <w:rsid w:val="00391489"/>
    <w:rsid w:val="003919CB"/>
    <w:rsid w:val="0039668B"/>
    <w:rsid w:val="0039794B"/>
    <w:rsid w:val="003A134F"/>
    <w:rsid w:val="003A16FA"/>
    <w:rsid w:val="003A3A8D"/>
    <w:rsid w:val="003A4068"/>
    <w:rsid w:val="003A5D57"/>
    <w:rsid w:val="003B328E"/>
    <w:rsid w:val="003B425D"/>
    <w:rsid w:val="003B6F39"/>
    <w:rsid w:val="003C1213"/>
    <w:rsid w:val="003C3050"/>
    <w:rsid w:val="003C30AD"/>
    <w:rsid w:val="003C44D7"/>
    <w:rsid w:val="003C4907"/>
    <w:rsid w:val="003C4AF1"/>
    <w:rsid w:val="003C6070"/>
    <w:rsid w:val="003C7321"/>
    <w:rsid w:val="003D3E8E"/>
    <w:rsid w:val="003D62BB"/>
    <w:rsid w:val="003E234A"/>
    <w:rsid w:val="003E26D0"/>
    <w:rsid w:val="003E45E0"/>
    <w:rsid w:val="003E594A"/>
    <w:rsid w:val="003E6F74"/>
    <w:rsid w:val="003E745F"/>
    <w:rsid w:val="003E77B2"/>
    <w:rsid w:val="003F1E24"/>
    <w:rsid w:val="003F29A6"/>
    <w:rsid w:val="003F3BC8"/>
    <w:rsid w:val="003F67E6"/>
    <w:rsid w:val="00404685"/>
    <w:rsid w:val="0040573D"/>
    <w:rsid w:val="00406162"/>
    <w:rsid w:val="004109A3"/>
    <w:rsid w:val="00412378"/>
    <w:rsid w:val="00413B8D"/>
    <w:rsid w:val="00414574"/>
    <w:rsid w:val="00417B27"/>
    <w:rsid w:val="00420011"/>
    <w:rsid w:val="00420C15"/>
    <w:rsid w:val="0042113E"/>
    <w:rsid w:val="00424824"/>
    <w:rsid w:val="004259A0"/>
    <w:rsid w:val="004261D8"/>
    <w:rsid w:val="00426912"/>
    <w:rsid w:val="00427AE7"/>
    <w:rsid w:val="00432B80"/>
    <w:rsid w:val="004330C6"/>
    <w:rsid w:val="00441364"/>
    <w:rsid w:val="00447D89"/>
    <w:rsid w:val="00451609"/>
    <w:rsid w:val="0045425C"/>
    <w:rsid w:val="004558E4"/>
    <w:rsid w:val="004575B4"/>
    <w:rsid w:val="00462BB8"/>
    <w:rsid w:val="00463C8E"/>
    <w:rsid w:val="004641CF"/>
    <w:rsid w:val="00467675"/>
    <w:rsid w:val="00471F21"/>
    <w:rsid w:val="00473828"/>
    <w:rsid w:val="00473FA0"/>
    <w:rsid w:val="004811E7"/>
    <w:rsid w:val="00483B6E"/>
    <w:rsid w:val="00485483"/>
    <w:rsid w:val="00485892"/>
    <w:rsid w:val="0048736C"/>
    <w:rsid w:val="004873EE"/>
    <w:rsid w:val="00490F81"/>
    <w:rsid w:val="00493871"/>
    <w:rsid w:val="00493874"/>
    <w:rsid w:val="004A0B36"/>
    <w:rsid w:val="004A5B47"/>
    <w:rsid w:val="004A78F8"/>
    <w:rsid w:val="004B17C4"/>
    <w:rsid w:val="004B2C1B"/>
    <w:rsid w:val="004B2E5B"/>
    <w:rsid w:val="004B5864"/>
    <w:rsid w:val="004C14B5"/>
    <w:rsid w:val="004C19C9"/>
    <w:rsid w:val="004C4A99"/>
    <w:rsid w:val="004C7A1A"/>
    <w:rsid w:val="004D16AE"/>
    <w:rsid w:val="004D4627"/>
    <w:rsid w:val="004D59E3"/>
    <w:rsid w:val="004D6B6F"/>
    <w:rsid w:val="004D7C08"/>
    <w:rsid w:val="004E03FD"/>
    <w:rsid w:val="004E3B66"/>
    <w:rsid w:val="004E4E8D"/>
    <w:rsid w:val="004E66B9"/>
    <w:rsid w:val="004F0662"/>
    <w:rsid w:val="004F1453"/>
    <w:rsid w:val="004F265D"/>
    <w:rsid w:val="004F2C11"/>
    <w:rsid w:val="004F2F9C"/>
    <w:rsid w:val="004F7DC5"/>
    <w:rsid w:val="00502EB9"/>
    <w:rsid w:val="005069AB"/>
    <w:rsid w:val="00507CA6"/>
    <w:rsid w:val="005102EF"/>
    <w:rsid w:val="00513954"/>
    <w:rsid w:val="0051552B"/>
    <w:rsid w:val="005212B4"/>
    <w:rsid w:val="005222D3"/>
    <w:rsid w:val="005367F7"/>
    <w:rsid w:val="0053740B"/>
    <w:rsid w:val="00545B16"/>
    <w:rsid w:val="00550AC9"/>
    <w:rsid w:val="00553091"/>
    <w:rsid w:val="00560E7C"/>
    <w:rsid w:val="005613F3"/>
    <w:rsid w:val="00564268"/>
    <w:rsid w:val="005659EB"/>
    <w:rsid w:val="00567E55"/>
    <w:rsid w:val="00572E0D"/>
    <w:rsid w:val="0057671A"/>
    <w:rsid w:val="00576C08"/>
    <w:rsid w:val="00580E33"/>
    <w:rsid w:val="005820FF"/>
    <w:rsid w:val="0058280C"/>
    <w:rsid w:val="00587798"/>
    <w:rsid w:val="005928EF"/>
    <w:rsid w:val="00595D45"/>
    <w:rsid w:val="005A5087"/>
    <w:rsid w:val="005A6A07"/>
    <w:rsid w:val="005B4606"/>
    <w:rsid w:val="005B52B3"/>
    <w:rsid w:val="005B774E"/>
    <w:rsid w:val="005C7EEE"/>
    <w:rsid w:val="005D5380"/>
    <w:rsid w:val="005D583A"/>
    <w:rsid w:val="005F5220"/>
    <w:rsid w:val="005F58E4"/>
    <w:rsid w:val="006010DC"/>
    <w:rsid w:val="006035FE"/>
    <w:rsid w:val="00603CD2"/>
    <w:rsid w:val="0060404A"/>
    <w:rsid w:val="00604FF2"/>
    <w:rsid w:val="00605248"/>
    <w:rsid w:val="00606870"/>
    <w:rsid w:val="0060706C"/>
    <w:rsid w:val="00614B26"/>
    <w:rsid w:val="00616E9E"/>
    <w:rsid w:val="00620AAF"/>
    <w:rsid w:val="00621E5E"/>
    <w:rsid w:val="00624409"/>
    <w:rsid w:val="0062798D"/>
    <w:rsid w:val="0063690D"/>
    <w:rsid w:val="006372B0"/>
    <w:rsid w:val="00640CCC"/>
    <w:rsid w:val="00641180"/>
    <w:rsid w:val="006419BC"/>
    <w:rsid w:val="00646B76"/>
    <w:rsid w:val="00647322"/>
    <w:rsid w:val="00652DBA"/>
    <w:rsid w:val="00662A40"/>
    <w:rsid w:val="00667644"/>
    <w:rsid w:val="00673CE0"/>
    <w:rsid w:val="00673FE0"/>
    <w:rsid w:val="0067455E"/>
    <w:rsid w:val="0067773C"/>
    <w:rsid w:val="00677C0E"/>
    <w:rsid w:val="00681A5A"/>
    <w:rsid w:val="0068289C"/>
    <w:rsid w:val="00686505"/>
    <w:rsid w:val="00687746"/>
    <w:rsid w:val="00687BD5"/>
    <w:rsid w:val="00690873"/>
    <w:rsid w:val="006945CD"/>
    <w:rsid w:val="006A0BB1"/>
    <w:rsid w:val="006A268D"/>
    <w:rsid w:val="006A2827"/>
    <w:rsid w:val="006A29B9"/>
    <w:rsid w:val="006A2AFC"/>
    <w:rsid w:val="006A7575"/>
    <w:rsid w:val="006B53E2"/>
    <w:rsid w:val="006C01FA"/>
    <w:rsid w:val="006C183E"/>
    <w:rsid w:val="006C2519"/>
    <w:rsid w:val="006C3649"/>
    <w:rsid w:val="006C5EE7"/>
    <w:rsid w:val="006C6B3E"/>
    <w:rsid w:val="006C780C"/>
    <w:rsid w:val="006D05C4"/>
    <w:rsid w:val="006D0ADA"/>
    <w:rsid w:val="006D5992"/>
    <w:rsid w:val="006D5C37"/>
    <w:rsid w:val="006E248E"/>
    <w:rsid w:val="006E2FCF"/>
    <w:rsid w:val="006E40C4"/>
    <w:rsid w:val="006E5FDB"/>
    <w:rsid w:val="006E7182"/>
    <w:rsid w:val="006F39A9"/>
    <w:rsid w:val="006F47DF"/>
    <w:rsid w:val="007007DF"/>
    <w:rsid w:val="00703924"/>
    <w:rsid w:val="007056F5"/>
    <w:rsid w:val="0070726D"/>
    <w:rsid w:val="00712719"/>
    <w:rsid w:val="0071482F"/>
    <w:rsid w:val="007173AD"/>
    <w:rsid w:val="007216DC"/>
    <w:rsid w:val="00723495"/>
    <w:rsid w:val="007243FA"/>
    <w:rsid w:val="007245CF"/>
    <w:rsid w:val="007256DC"/>
    <w:rsid w:val="007378A7"/>
    <w:rsid w:val="00737B6C"/>
    <w:rsid w:val="007464E8"/>
    <w:rsid w:val="007511E1"/>
    <w:rsid w:val="0076439A"/>
    <w:rsid w:val="0076524B"/>
    <w:rsid w:val="00765985"/>
    <w:rsid w:val="00770D40"/>
    <w:rsid w:val="00777C27"/>
    <w:rsid w:val="0078026F"/>
    <w:rsid w:val="0078032C"/>
    <w:rsid w:val="00784D52"/>
    <w:rsid w:val="0078605E"/>
    <w:rsid w:val="0078638D"/>
    <w:rsid w:val="007940E1"/>
    <w:rsid w:val="007959A8"/>
    <w:rsid w:val="0079776C"/>
    <w:rsid w:val="007A0B16"/>
    <w:rsid w:val="007A2A49"/>
    <w:rsid w:val="007A431D"/>
    <w:rsid w:val="007B1707"/>
    <w:rsid w:val="007B35AF"/>
    <w:rsid w:val="007B48C4"/>
    <w:rsid w:val="007B78F8"/>
    <w:rsid w:val="007C011D"/>
    <w:rsid w:val="007C097F"/>
    <w:rsid w:val="007C4A27"/>
    <w:rsid w:val="007C652D"/>
    <w:rsid w:val="007C7145"/>
    <w:rsid w:val="007C7423"/>
    <w:rsid w:val="007C78B9"/>
    <w:rsid w:val="007D2DA4"/>
    <w:rsid w:val="007D7FDB"/>
    <w:rsid w:val="007E090C"/>
    <w:rsid w:val="007E5580"/>
    <w:rsid w:val="007E6B87"/>
    <w:rsid w:val="007F19DE"/>
    <w:rsid w:val="007F4D7A"/>
    <w:rsid w:val="007F5639"/>
    <w:rsid w:val="007F6E32"/>
    <w:rsid w:val="0080534E"/>
    <w:rsid w:val="0080594A"/>
    <w:rsid w:val="00806876"/>
    <w:rsid w:val="00806988"/>
    <w:rsid w:val="008125CB"/>
    <w:rsid w:val="008137C5"/>
    <w:rsid w:val="00813C4D"/>
    <w:rsid w:val="00833C0F"/>
    <w:rsid w:val="008374EE"/>
    <w:rsid w:val="00841592"/>
    <w:rsid w:val="008452B0"/>
    <w:rsid w:val="00855E20"/>
    <w:rsid w:val="00860F1D"/>
    <w:rsid w:val="00861475"/>
    <w:rsid w:val="00870208"/>
    <w:rsid w:val="00873516"/>
    <w:rsid w:val="00874AF0"/>
    <w:rsid w:val="008752CC"/>
    <w:rsid w:val="00875B76"/>
    <w:rsid w:val="00880F8B"/>
    <w:rsid w:val="00893E25"/>
    <w:rsid w:val="008A0486"/>
    <w:rsid w:val="008A122A"/>
    <w:rsid w:val="008A1752"/>
    <w:rsid w:val="008A523E"/>
    <w:rsid w:val="008A5EBC"/>
    <w:rsid w:val="008B025B"/>
    <w:rsid w:val="008B1891"/>
    <w:rsid w:val="008B2643"/>
    <w:rsid w:val="008B3123"/>
    <w:rsid w:val="008B4D43"/>
    <w:rsid w:val="008B7092"/>
    <w:rsid w:val="008B75A6"/>
    <w:rsid w:val="008C4FDE"/>
    <w:rsid w:val="008D0688"/>
    <w:rsid w:val="008E0EA5"/>
    <w:rsid w:val="008E0F4A"/>
    <w:rsid w:val="008E1B43"/>
    <w:rsid w:val="008E64F6"/>
    <w:rsid w:val="008E734A"/>
    <w:rsid w:val="008F1698"/>
    <w:rsid w:val="008F2C8F"/>
    <w:rsid w:val="008F4363"/>
    <w:rsid w:val="008F5E79"/>
    <w:rsid w:val="00901D94"/>
    <w:rsid w:val="00901FFB"/>
    <w:rsid w:val="0090254B"/>
    <w:rsid w:val="00902798"/>
    <w:rsid w:val="00903653"/>
    <w:rsid w:val="009048A2"/>
    <w:rsid w:val="009123E0"/>
    <w:rsid w:val="00914770"/>
    <w:rsid w:val="00914DF7"/>
    <w:rsid w:val="009163B2"/>
    <w:rsid w:val="0091732D"/>
    <w:rsid w:val="00924489"/>
    <w:rsid w:val="00924BF8"/>
    <w:rsid w:val="00931779"/>
    <w:rsid w:val="00933CC7"/>
    <w:rsid w:val="009360F7"/>
    <w:rsid w:val="009420CA"/>
    <w:rsid w:val="00942D5E"/>
    <w:rsid w:val="009464A2"/>
    <w:rsid w:val="0095086C"/>
    <w:rsid w:val="009515EF"/>
    <w:rsid w:val="00953CAD"/>
    <w:rsid w:val="009545B3"/>
    <w:rsid w:val="00960861"/>
    <w:rsid w:val="00960D9F"/>
    <w:rsid w:val="0096210F"/>
    <w:rsid w:val="00963582"/>
    <w:rsid w:val="00964435"/>
    <w:rsid w:val="00971DB8"/>
    <w:rsid w:val="00974445"/>
    <w:rsid w:val="00974D25"/>
    <w:rsid w:val="00975F75"/>
    <w:rsid w:val="00976917"/>
    <w:rsid w:val="00976A44"/>
    <w:rsid w:val="00977D9C"/>
    <w:rsid w:val="009917F9"/>
    <w:rsid w:val="00992D2C"/>
    <w:rsid w:val="00994291"/>
    <w:rsid w:val="00994B17"/>
    <w:rsid w:val="009967BC"/>
    <w:rsid w:val="009A2030"/>
    <w:rsid w:val="009B22B8"/>
    <w:rsid w:val="009B4AC7"/>
    <w:rsid w:val="009B4B60"/>
    <w:rsid w:val="009B5AF2"/>
    <w:rsid w:val="009B6C10"/>
    <w:rsid w:val="009C2F5B"/>
    <w:rsid w:val="009C479E"/>
    <w:rsid w:val="009C5CE7"/>
    <w:rsid w:val="009D2533"/>
    <w:rsid w:val="009D670E"/>
    <w:rsid w:val="009D72FF"/>
    <w:rsid w:val="009E6F57"/>
    <w:rsid w:val="009E72A8"/>
    <w:rsid w:val="009E767E"/>
    <w:rsid w:val="00A005EC"/>
    <w:rsid w:val="00A00E26"/>
    <w:rsid w:val="00A046D0"/>
    <w:rsid w:val="00A04E71"/>
    <w:rsid w:val="00A06609"/>
    <w:rsid w:val="00A10E27"/>
    <w:rsid w:val="00A1159F"/>
    <w:rsid w:val="00A12204"/>
    <w:rsid w:val="00A14BD4"/>
    <w:rsid w:val="00A23CE0"/>
    <w:rsid w:val="00A24148"/>
    <w:rsid w:val="00A3125F"/>
    <w:rsid w:val="00A32D0A"/>
    <w:rsid w:val="00A3323D"/>
    <w:rsid w:val="00A35728"/>
    <w:rsid w:val="00A36087"/>
    <w:rsid w:val="00A37DB6"/>
    <w:rsid w:val="00A472B4"/>
    <w:rsid w:val="00A510D4"/>
    <w:rsid w:val="00A51287"/>
    <w:rsid w:val="00A51BFA"/>
    <w:rsid w:val="00A53DA8"/>
    <w:rsid w:val="00A60D62"/>
    <w:rsid w:val="00A63AA4"/>
    <w:rsid w:val="00A64F8C"/>
    <w:rsid w:val="00A73971"/>
    <w:rsid w:val="00A7443B"/>
    <w:rsid w:val="00A74F77"/>
    <w:rsid w:val="00A754B4"/>
    <w:rsid w:val="00A7789F"/>
    <w:rsid w:val="00A83D1F"/>
    <w:rsid w:val="00A84C37"/>
    <w:rsid w:val="00A85055"/>
    <w:rsid w:val="00A90B8B"/>
    <w:rsid w:val="00A95196"/>
    <w:rsid w:val="00A95543"/>
    <w:rsid w:val="00A95711"/>
    <w:rsid w:val="00A95DF6"/>
    <w:rsid w:val="00AA3A0E"/>
    <w:rsid w:val="00AA3A74"/>
    <w:rsid w:val="00AA47B2"/>
    <w:rsid w:val="00AB3319"/>
    <w:rsid w:val="00AB6B09"/>
    <w:rsid w:val="00AC312D"/>
    <w:rsid w:val="00AC4095"/>
    <w:rsid w:val="00AC5617"/>
    <w:rsid w:val="00AC6490"/>
    <w:rsid w:val="00AC6A0A"/>
    <w:rsid w:val="00AC7E12"/>
    <w:rsid w:val="00AD0AC1"/>
    <w:rsid w:val="00AD386E"/>
    <w:rsid w:val="00AD59AB"/>
    <w:rsid w:val="00AD69FE"/>
    <w:rsid w:val="00AE7050"/>
    <w:rsid w:val="00AE7DDC"/>
    <w:rsid w:val="00AF3549"/>
    <w:rsid w:val="00AF40B6"/>
    <w:rsid w:val="00AF4D1E"/>
    <w:rsid w:val="00B008A3"/>
    <w:rsid w:val="00B00FDA"/>
    <w:rsid w:val="00B02DBC"/>
    <w:rsid w:val="00B05030"/>
    <w:rsid w:val="00B0602D"/>
    <w:rsid w:val="00B06E5C"/>
    <w:rsid w:val="00B13704"/>
    <w:rsid w:val="00B2158D"/>
    <w:rsid w:val="00B2164F"/>
    <w:rsid w:val="00B22A14"/>
    <w:rsid w:val="00B24918"/>
    <w:rsid w:val="00B307E1"/>
    <w:rsid w:val="00B3226A"/>
    <w:rsid w:val="00B35B84"/>
    <w:rsid w:val="00B446E3"/>
    <w:rsid w:val="00B515EA"/>
    <w:rsid w:val="00B51F81"/>
    <w:rsid w:val="00B62C65"/>
    <w:rsid w:val="00B6444A"/>
    <w:rsid w:val="00B70B56"/>
    <w:rsid w:val="00B76FA1"/>
    <w:rsid w:val="00B81C18"/>
    <w:rsid w:val="00B82AB8"/>
    <w:rsid w:val="00B918E1"/>
    <w:rsid w:val="00B93378"/>
    <w:rsid w:val="00B9343C"/>
    <w:rsid w:val="00B94A7E"/>
    <w:rsid w:val="00B96EA5"/>
    <w:rsid w:val="00BA0D42"/>
    <w:rsid w:val="00BA33D9"/>
    <w:rsid w:val="00BA3A69"/>
    <w:rsid w:val="00BA4391"/>
    <w:rsid w:val="00BB04E3"/>
    <w:rsid w:val="00BB4991"/>
    <w:rsid w:val="00BB516D"/>
    <w:rsid w:val="00BC042F"/>
    <w:rsid w:val="00BC1EA1"/>
    <w:rsid w:val="00BC208F"/>
    <w:rsid w:val="00BC27DD"/>
    <w:rsid w:val="00BD09B8"/>
    <w:rsid w:val="00BD1F03"/>
    <w:rsid w:val="00BD40C4"/>
    <w:rsid w:val="00BE384C"/>
    <w:rsid w:val="00BE70FF"/>
    <w:rsid w:val="00BE79B7"/>
    <w:rsid w:val="00BE7E2B"/>
    <w:rsid w:val="00BF0EBD"/>
    <w:rsid w:val="00BF1701"/>
    <w:rsid w:val="00BF28CB"/>
    <w:rsid w:val="00BF46F1"/>
    <w:rsid w:val="00BF6672"/>
    <w:rsid w:val="00BF67A8"/>
    <w:rsid w:val="00C0144E"/>
    <w:rsid w:val="00C034E8"/>
    <w:rsid w:val="00C07340"/>
    <w:rsid w:val="00C11070"/>
    <w:rsid w:val="00C166A4"/>
    <w:rsid w:val="00C21FBE"/>
    <w:rsid w:val="00C27020"/>
    <w:rsid w:val="00C30BDD"/>
    <w:rsid w:val="00C34342"/>
    <w:rsid w:val="00C349BC"/>
    <w:rsid w:val="00C35829"/>
    <w:rsid w:val="00C408C5"/>
    <w:rsid w:val="00C422E4"/>
    <w:rsid w:val="00C51DE5"/>
    <w:rsid w:val="00C54AD3"/>
    <w:rsid w:val="00C55593"/>
    <w:rsid w:val="00C57A15"/>
    <w:rsid w:val="00C60EE6"/>
    <w:rsid w:val="00C6435F"/>
    <w:rsid w:val="00C67434"/>
    <w:rsid w:val="00C674B4"/>
    <w:rsid w:val="00C67B69"/>
    <w:rsid w:val="00C67C5E"/>
    <w:rsid w:val="00C72463"/>
    <w:rsid w:val="00C746CF"/>
    <w:rsid w:val="00C814EC"/>
    <w:rsid w:val="00C815ED"/>
    <w:rsid w:val="00C81DBB"/>
    <w:rsid w:val="00C83B3E"/>
    <w:rsid w:val="00C85D1F"/>
    <w:rsid w:val="00C87787"/>
    <w:rsid w:val="00C90D77"/>
    <w:rsid w:val="00C90E2F"/>
    <w:rsid w:val="00C935DC"/>
    <w:rsid w:val="00C944CA"/>
    <w:rsid w:val="00CA17BA"/>
    <w:rsid w:val="00CA1C33"/>
    <w:rsid w:val="00CA1DDA"/>
    <w:rsid w:val="00CA50C8"/>
    <w:rsid w:val="00CB2E28"/>
    <w:rsid w:val="00CB7AF4"/>
    <w:rsid w:val="00CB7C82"/>
    <w:rsid w:val="00CB7F49"/>
    <w:rsid w:val="00CC1E36"/>
    <w:rsid w:val="00CC1FF4"/>
    <w:rsid w:val="00CC3738"/>
    <w:rsid w:val="00CC3DC5"/>
    <w:rsid w:val="00CC502F"/>
    <w:rsid w:val="00CD0DD1"/>
    <w:rsid w:val="00CD5F5D"/>
    <w:rsid w:val="00CD61F2"/>
    <w:rsid w:val="00CD6F21"/>
    <w:rsid w:val="00CE38EB"/>
    <w:rsid w:val="00CE3C63"/>
    <w:rsid w:val="00CE52E7"/>
    <w:rsid w:val="00CE685E"/>
    <w:rsid w:val="00CE77A4"/>
    <w:rsid w:val="00CF04D4"/>
    <w:rsid w:val="00CF0F06"/>
    <w:rsid w:val="00CF36D8"/>
    <w:rsid w:val="00CF5017"/>
    <w:rsid w:val="00CF6559"/>
    <w:rsid w:val="00D02781"/>
    <w:rsid w:val="00D12F61"/>
    <w:rsid w:val="00D13A95"/>
    <w:rsid w:val="00D14139"/>
    <w:rsid w:val="00D16AA8"/>
    <w:rsid w:val="00D20A55"/>
    <w:rsid w:val="00D23776"/>
    <w:rsid w:val="00D2602C"/>
    <w:rsid w:val="00D27BD4"/>
    <w:rsid w:val="00D27E60"/>
    <w:rsid w:val="00D36E4C"/>
    <w:rsid w:val="00D40FDB"/>
    <w:rsid w:val="00D41B98"/>
    <w:rsid w:val="00D431F2"/>
    <w:rsid w:val="00D45532"/>
    <w:rsid w:val="00D4652B"/>
    <w:rsid w:val="00D50A10"/>
    <w:rsid w:val="00D52A98"/>
    <w:rsid w:val="00D544EA"/>
    <w:rsid w:val="00D54A74"/>
    <w:rsid w:val="00D639C2"/>
    <w:rsid w:val="00D65568"/>
    <w:rsid w:val="00D65E14"/>
    <w:rsid w:val="00D67A75"/>
    <w:rsid w:val="00D67A8F"/>
    <w:rsid w:val="00D73B25"/>
    <w:rsid w:val="00D764C8"/>
    <w:rsid w:val="00D77ADF"/>
    <w:rsid w:val="00D8137C"/>
    <w:rsid w:val="00D828FA"/>
    <w:rsid w:val="00D90EC3"/>
    <w:rsid w:val="00D9280A"/>
    <w:rsid w:val="00D935C0"/>
    <w:rsid w:val="00D96C99"/>
    <w:rsid w:val="00D97122"/>
    <w:rsid w:val="00D97E45"/>
    <w:rsid w:val="00DA072E"/>
    <w:rsid w:val="00DA2526"/>
    <w:rsid w:val="00DB110A"/>
    <w:rsid w:val="00DB116E"/>
    <w:rsid w:val="00DC015E"/>
    <w:rsid w:val="00DC0F32"/>
    <w:rsid w:val="00DC1ADA"/>
    <w:rsid w:val="00DC24AE"/>
    <w:rsid w:val="00DC4913"/>
    <w:rsid w:val="00DC7664"/>
    <w:rsid w:val="00DC7EA1"/>
    <w:rsid w:val="00DD0E0B"/>
    <w:rsid w:val="00DD1570"/>
    <w:rsid w:val="00DD174C"/>
    <w:rsid w:val="00DD2BB7"/>
    <w:rsid w:val="00DD33E1"/>
    <w:rsid w:val="00DE48BB"/>
    <w:rsid w:val="00DE5BEE"/>
    <w:rsid w:val="00DE6BF8"/>
    <w:rsid w:val="00DF152D"/>
    <w:rsid w:val="00DF16A1"/>
    <w:rsid w:val="00DF1CF4"/>
    <w:rsid w:val="00DF23A4"/>
    <w:rsid w:val="00DF3659"/>
    <w:rsid w:val="00DF6A92"/>
    <w:rsid w:val="00DF6F4F"/>
    <w:rsid w:val="00DF786D"/>
    <w:rsid w:val="00E00D73"/>
    <w:rsid w:val="00E0128E"/>
    <w:rsid w:val="00E02F6F"/>
    <w:rsid w:val="00E03220"/>
    <w:rsid w:val="00E0584B"/>
    <w:rsid w:val="00E06369"/>
    <w:rsid w:val="00E07F1A"/>
    <w:rsid w:val="00E13FAA"/>
    <w:rsid w:val="00E155E6"/>
    <w:rsid w:val="00E16B6D"/>
    <w:rsid w:val="00E1740A"/>
    <w:rsid w:val="00E2121A"/>
    <w:rsid w:val="00E220E1"/>
    <w:rsid w:val="00E26BC9"/>
    <w:rsid w:val="00E27331"/>
    <w:rsid w:val="00E301BF"/>
    <w:rsid w:val="00E31B75"/>
    <w:rsid w:val="00E42BDB"/>
    <w:rsid w:val="00E43EE9"/>
    <w:rsid w:val="00E44BF9"/>
    <w:rsid w:val="00E53C20"/>
    <w:rsid w:val="00E56292"/>
    <w:rsid w:val="00E56A52"/>
    <w:rsid w:val="00E5791F"/>
    <w:rsid w:val="00E61D3B"/>
    <w:rsid w:val="00E62F32"/>
    <w:rsid w:val="00E63A5E"/>
    <w:rsid w:val="00E640C0"/>
    <w:rsid w:val="00E717DB"/>
    <w:rsid w:val="00E814AC"/>
    <w:rsid w:val="00E85C79"/>
    <w:rsid w:val="00E91D16"/>
    <w:rsid w:val="00E91D8E"/>
    <w:rsid w:val="00EA0004"/>
    <w:rsid w:val="00EA1571"/>
    <w:rsid w:val="00EA1689"/>
    <w:rsid w:val="00EA1CC7"/>
    <w:rsid w:val="00EA7F21"/>
    <w:rsid w:val="00EB1B84"/>
    <w:rsid w:val="00EC05EF"/>
    <w:rsid w:val="00EC1C3C"/>
    <w:rsid w:val="00ED2C86"/>
    <w:rsid w:val="00ED61B7"/>
    <w:rsid w:val="00EE0013"/>
    <w:rsid w:val="00EE0399"/>
    <w:rsid w:val="00EF24B9"/>
    <w:rsid w:val="00EF67A6"/>
    <w:rsid w:val="00F0095C"/>
    <w:rsid w:val="00F029C1"/>
    <w:rsid w:val="00F02EF1"/>
    <w:rsid w:val="00F03221"/>
    <w:rsid w:val="00F117E9"/>
    <w:rsid w:val="00F12B65"/>
    <w:rsid w:val="00F169E0"/>
    <w:rsid w:val="00F239A2"/>
    <w:rsid w:val="00F25C2B"/>
    <w:rsid w:val="00F26C2D"/>
    <w:rsid w:val="00F26FBF"/>
    <w:rsid w:val="00F3026D"/>
    <w:rsid w:val="00F32ED5"/>
    <w:rsid w:val="00F36243"/>
    <w:rsid w:val="00F37CBD"/>
    <w:rsid w:val="00F416F1"/>
    <w:rsid w:val="00F42717"/>
    <w:rsid w:val="00F4271E"/>
    <w:rsid w:val="00F42E91"/>
    <w:rsid w:val="00F430C0"/>
    <w:rsid w:val="00F4669D"/>
    <w:rsid w:val="00F47594"/>
    <w:rsid w:val="00F50578"/>
    <w:rsid w:val="00F50A5D"/>
    <w:rsid w:val="00F51965"/>
    <w:rsid w:val="00F53847"/>
    <w:rsid w:val="00F541B6"/>
    <w:rsid w:val="00F57CD1"/>
    <w:rsid w:val="00F63923"/>
    <w:rsid w:val="00F639C2"/>
    <w:rsid w:val="00F65051"/>
    <w:rsid w:val="00F676E2"/>
    <w:rsid w:val="00F72C06"/>
    <w:rsid w:val="00F800A6"/>
    <w:rsid w:val="00F80DAE"/>
    <w:rsid w:val="00F843B8"/>
    <w:rsid w:val="00F86456"/>
    <w:rsid w:val="00F87877"/>
    <w:rsid w:val="00F87ECD"/>
    <w:rsid w:val="00F95B4B"/>
    <w:rsid w:val="00F95E35"/>
    <w:rsid w:val="00FA0A48"/>
    <w:rsid w:val="00FB0FF4"/>
    <w:rsid w:val="00FB1119"/>
    <w:rsid w:val="00FB3464"/>
    <w:rsid w:val="00FB7AE3"/>
    <w:rsid w:val="00FD190D"/>
    <w:rsid w:val="00FD2D81"/>
    <w:rsid w:val="00FD46FF"/>
    <w:rsid w:val="00FD5232"/>
    <w:rsid w:val="00FE3BC7"/>
    <w:rsid w:val="00FE69A9"/>
    <w:rsid w:val="00FE7764"/>
    <w:rsid w:val="00FE7A5C"/>
    <w:rsid w:val="00FF21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E8FF08"/>
  <w15:docId w15:val="{0E157FDF-73B8-4CD2-90D2-9005AED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Std Bk" w:eastAsiaTheme="minorHAnsi" w:hAnsi="ITC Avant Garde Std Bk" w:cs="Open Sans Light"/>
        <w:color w:val="373C7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DF7"/>
    <w:pPr>
      <w:spacing w:before="120"/>
      <w:jc w:val="both"/>
    </w:pPr>
  </w:style>
  <w:style w:type="paragraph" w:styleId="berschrift1">
    <w:name w:val="heading 1"/>
    <w:aliases w:val="HEADING 1 - numbered"/>
    <w:basedOn w:val="Standard"/>
    <w:next w:val="Standard"/>
    <w:link w:val="berschrift1Zchn"/>
    <w:uiPriority w:val="9"/>
    <w:qFormat/>
    <w:rsid w:val="00914DF7"/>
    <w:pPr>
      <w:keepNext/>
      <w:keepLines/>
      <w:pageBreakBefore/>
      <w:numPr>
        <w:numId w:val="2"/>
      </w:numPr>
      <w:spacing w:before="480" w:after="0"/>
      <w:outlineLvl w:val="0"/>
    </w:pPr>
    <w:rPr>
      <w:rFonts w:eastAsiaTheme="majorEastAsia"/>
      <w:b/>
      <w:bCs/>
      <w:caps/>
      <w:color w:val="292C59" w:themeColor="accent1" w:themeShade="BF"/>
      <w:sz w:val="32"/>
      <w:szCs w:val="28"/>
    </w:rPr>
  </w:style>
  <w:style w:type="paragraph" w:styleId="berschrift2">
    <w:name w:val="heading 2"/>
    <w:basedOn w:val="Standard"/>
    <w:next w:val="Standard"/>
    <w:link w:val="berschrift2Zchn"/>
    <w:uiPriority w:val="9"/>
    <w:unhideWhenUsed/>
    <w:qFormat/>
    <w:rsid w:val="00914DF7"/>
    <w:pPr>
      <w:keepNext/>
      <w:keepLines/>
      <w:numPr>
        <w:ilvl w:val="1"/>
        <w:numId w:val="2"/>
      </w:numPr>
      <w:spacing w:before="200" w:after="0"/>
      <w:outlineLvl w:val="1"/>
    </w:pPr>
    <w:rPr>
      <w:rFonts w:eastAsiaTheme="majorEastAsia"/>
      <w:b/>
      <w:bCs/>
      <w:color w:val="373C78" w:themeColor="accent1"/>
      <w:sz w:val="28"/>
      <w:szCs w:val="26"/>
    </w:rPr>
  </w:style>
  <w:style w:type="paragraph" w:styleId="berschrift3">
    <w:name w:val="heading 3"/>
    <w:basedOn w:val="Standard"/>
    <w:next w:val="Standard"/>
    <w:link w:val="berschrift3Zchn"/>
    <w:uiPriority w:val="9"/>
    <w:unhideWhenUsed/>
    <w:qFormat/>
    <w:rsid w:val="00914DF7"/>
    <w:pPr>
      <w:keepNext/>
      <w:keepLines/>
      <w:spacing w:before="200" w:after="0"/>
      <w:outlineLvl w:val="2"/>
    </w:pPr>
    <w:rPr>
      <w:rFonts w:eastAsiaTheme="majorEastAsia"/>
      <w:b/>
      <w:bCs/>
      <w:color w:val="373C78" w:themeColor="accent1"/>
      <w:sz w:val="24"/>
    </w:rPr>
  </w:style>
  <w:style w:type="paragraph" w:styleId="berschrift4">
    <w:name w:val="heading 4"/>
    <w:basedOn w:val="Standard"/>
    <w:next w:val="Standard"/>
    <w:link w:val="berschrift4Zchn"/>
    <w:unhideWhenUsed/>
    <w:qFormat/>
    <w:rsid w:val="00914DF7"/>
    <w:pPr>
      <w:keepNext/>
      <w:keepLines/>
      <w:spacing w:before="200" w:after="0"/>
      <w:outlineLvl w:val="3"/>
    </w:pPr>
    <w:rPr>
      <w:rFonts w:eastAsiaTheme="majorEastAsia"/>
      <w:b/>
      <w:bCs/>
      <w:i/>
      <w:iCs/>
      <w:color w:val="373C78" w:themeColor="accent1"/>
      <w:sz w:val="24"/>
    </w:rPr>
  </w:style>
  <w:style w:type="paragraph" w:styleId="berschrift5">
    <w:name w:val="heading 5"/>
    <w:basedOn w:val="Standard"/>
    <w:next w:val="Standard"/>
    <w:link w:val="berschrift5Zchn"/>
    <w:unhideWhenUsed/>
    <w:qFormat/>
    <w:rsid w:val="00914DF7"/>
    <w:pPr>
      <w:keepNext/>
      <w:keepLines/>
      <w:spacing w:before="40" w:after="0"/>
      <w:outlineLvl w:val="4"/>
    </w:pPr>
    <w:rPr>
      <w:rFonts w:eastAsiaTheme="majorEastAsia" w:cstheme="majorBidi"/>
      <w:i/>
      <w:color w:val="292C59" w:themeColor="accent1" w:themeShade="BF"/>
    </w:rPr>
  </w:style>
  <w:style w:type="paragraph" w:styleId="berschrift6">
    <w:name w:val="heading 6"/>
    <w:basedOn w:val="Standard"/>
    <w:next w:val="Standard"/>
    <w:link w:val="berschrift6Zchn"/>
    <w:uiPriority w:val="9"/>
    <w:unhideWhenUsed/>
    <w:qFormat/>
    <w:rsid w:val="00914DF7"/>
    <w:pPr>
      <w:keepNext/>
      <w:keepLines/>
      <w:numPr>
        <w:ilvl w:val="5"/>
        <w:numId w:val="2"/>
      </w:numPr>
      <w:spacing w:before="40" w:after="0"/>
      <w:outlineLvl w:val="5"/>
    </w:pPr>
    <w:rPr>
      <w:rFonts w:asciiTheme="majorHAnsi" w:eastAsiaTheme="majorEastAsia" w:hAnsiTheme="majorHAnsi" w:cstheme="majorBidi"/>
      <w:color w:val="1B1D3B" w:themeColor="accent1" w:themeShade="7F"/>
    </w:rPr>
  </w:style>
  <w:style w:type="paragraph" w:styleId="berschrift7">
    <w:name w:val="heading 7"/>
    <w:basedOn w:val="Standard"/>
    <w:next w:val="Standard"/>
    <w:link w:val="berschrift7Zchn"/>
    <w:uiPriority w:val="9"/>
    <w:semiHidden/>
    <w:unhideWhenUsed/>
    <w:qFormat/>
    <w:rsid w:val="00914DF7"/>
    <w:pPr>
      <w:keepNext/>
      <w:keepLines/>
      <w:numPr>
        <w:ilvl w:val="6"/>
        <w:numId w:val="2"/>
      </w:numPr>
      <w:spacing w:before="40" w:after="0"/>
      <w:outlineLvl w:val="6"/>
    </w:pPr>
    <w:rPr>
      <w:rFonts w:asciiTheme="majorHAnsi" w:eastAsiaTheme="majorEastAsia" w:hAnsiTheme="majorHAnsi" w:cstheme="majorBidi"/>
      <w:i/>
      <w:iCs/>
      <w:color w:val="1B1D3B" w:themeColor="accent1" w:themeShade="7F"/>
    </w:rPr>
  </w:style>
  <w:style w:type="paragraph" w:styleId="berschrift8">
    <w:name w:val="heading 8"/>
    <w:basedOn w:val="Standard"/>
    <w:next w:val="Standard"/>
    <w:link w:val="berschrift8Zchn"/>
    <w:uiPriority w:val="9"/>
    <w:semiHidden/>
    <w:unhideWhenUsed/>
    <w:qFormat/>
    <w:rsid w:val="00914DF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14DF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points - Level 1"/>
    <w:basedOn w:val="Standard"/>
    <w:link w:val="ListenabsatzZchn"/>
    <w:uiPriority w:val="34"/>
    <w:qFormat/>
    <w:rsid w:val="00E31B75"/>
    <w:pPr>
      <w:numPr>
        <w:numId w:val="1"/>
      </w:numPr>
      <w:spacing w:before="0" w:after="0"/>
      <w:contextualSpacing/>
    </w:pPr>
  </w:style>
  <w:style w:type="paragraph" w:styleId="Sprechblasentext">
    <w:name w:val="Balloon Text"/>
    <w:basedOn w:val="Standard"/>
    <w:link w:val="SprechblasentextZchn"/>
    <w:uiPriority w:val="99"/>
    <w:semiHidden/>
    <w:unhideWhenUsed/>
    <w:rsid w:val="00000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0037"/>
    <w:rPr>
      <w:rFonts w:ascii="Tahoma" w:hAnsi="Tahoma" w:cs="Tahoma"/>
      <w:sz w:val="16"/>
      <w:szCs w:val="16"/>
    </w:rPr>
  </w:style>
  <w:style w:type="paragraph" w:styleId="Titel">
    <w:name w:val="Title"/>
    <w:basedOn w:val="Standard"/>
    <w:next w:val="Standard"/>
    <w:link w:val="TitelZchn"/>
    <w:uiPriority w:val="10"/>
    <w:rsid w:val="00DD1570"/>
    <w:pPr>
      <w:pBdr>
        <w:bottom w:val="single" w:sz="8" w:space="4" w:color="373C78" w:themeColor="accent1"/>
      </w:pBdr>
      <w:spacing w:after="300" w:line="240" w:lineRule="auto"/>
      <w:contextualSpacing/>
      <w:jc w:val="center"/>
    </w:pPr>
    <w:rPr>
      <w:rFonts w:eastAsia="Times New Roman" w:cstheme="majorBidi"/>
      <w:b/>
      <w:bCs/>
      <w:spacing w:val="5"/>
      <w:kern w:val="28"/>
      <w:sz w:val="52"/>
      <w:szCs w:val="52"/>
      <w:lang w:val="en-US" w:eastAsia="fr-BE"/>
    </w:rPr>
  </w:style>
  <w:style w:type="character" w:customStyle="1" w:styleId="TitelZchn">
    <w:name w:val="Titel Zchn"/>
    <w:basedOn w:val="Absatz-Standardschriftart"/>
    <w:link w:val="Titel"/>
    <w:uiPriority w:val="10"/>
    <w:rsid w:val="00DD1570"/>
    <w:rPr>
      <w:rFonts w:eastAsia="Times New Roman" w:cstheme="majorBidi"/>
      <w:b/>
      <w:bCs/>
      <w:color w:val="373C78"/>
      <w:spacing w:val="5"/>
      <w:kern w:val="28"/>
      <w:sz w:val="52"/>
      <w:szCs w:val="52"/>
      <w:lang w:val="en-US" w:eastAsia="fr-BE"/>
    </w:rPr>
  </w:style>
  <w:style w:type="character" w:styleId="Hyperlink">
    <w:name w:val="Hyperlink"/>
    <w:basedOn w:val="Absatz-Standardschriftart"/>
    <w:uiPriority w:val="99"/>
    <w:unhideWhenUsed/>
    <w:rsid w:val="0078605E"/>
    <w:rPr>
      <w:color w:val="373C78" w:themeColor="hyperlink"/>
      <w:u w:val="single"/>
    </w:rPr>
  </w:style>
  <w:style w:type="character" w:customStyle="1" w:styleId="berschrift1Zchn">
    <w:name w:val="Überschrift 1 Zchn"/>
    <w:aliases w:val="HEADING 1 - numbered Zchn"/>
    <w:basedOn w:val="Absatz-Standardschriftart"/>
    <w:link w:val="berschrift1"/>
    <w:uiPriority w:val="9"/>
    <w:rsid w:val="00914DF7"/>
    <w:rPr>
      <w:rFonts w:eastAsiaTheme="majorEastAsia"/>
      <w:b/>
      <w:bCs/>
      <w:caps/>
      <w:color w:val="292C59" w:themeColor="accent1" w:themeShade="BF"/>
      <w:sz w:val="32"/>
      <w:szCs w:val="28"/>
    </w:rPr>
  </w:style>
  <w:style w:type="character" w:customStyle="1" w:styleId="berschrift2Zchn">
    <w:name w:val="Überschrift 2 Zchn"/>
    <w:basedOn w:val="Absatz-Standardschriftart"/>
    <w:link w:val="berschrift2"/>
    <w:uiPriority w:val="9"/>
    <w:rsid w:val="00AC4095"/>
    <w:rPr>
      <w:rFonts w:eastAsiaTheme="majorEastAsia"/>
      <w:b/>
      <w:bCs/>
      <w:color w:val="373C78" w:themeColor="accent1"/>
      <w:sz w:val="28"/>
      <w:szCs w:val="26"/>
    </w:rPr>
  </w:style>
  <w:style w:type="character" w:customStyle="1" w:styleId="berschrift3Zchn">
    <w:name w:val="Überschrift 3 Zchn"/>
    <w:basedOn w:val="Absatz-Standardschriftart"/>
    <w:link w:val="berschrift3"/>
    <w:uiPriority w:val="9"/>
    <w:rsid w:val="00DC1ADA"/>
    <w:rPr>
      <w:rFonts w:ascii="ITC Avant Garde Std Bk" w:eastAsiaTheme="majorEastAsia" w:hAnsi="ITC Avant Garde Std Bk" w:cs="Open Sans Light"/>
      <w:b/>
      <w:bCs/>
      <w:color w:val="373C78" w:themeColor="accent1"/>
      <w:sz w:val="24"/>
    </w:rPr>
  </w:style>
  <w:style w:type="character" w:customStyle="1" w:styleId="berschrift4Zchn">
    <w:name w:val="Überschrift 4 Zchn"/>
    <w:basedOn w:val="Absatz-Standardschriftart"/>
    <w:link w:val="berschrift4"/>
    <w:uiPriority w:val="9"/>
    <w:rsid w:val="00DC1ADA"/>
    <w:rPr>
      <w:rFonts w:ascii="ITC Avant Garde Std Bk" w:eastAsiaTheme="majorEastAsia" w:hAnsi="ITC Avant Garde Std Bk" w:cs="Open Sans Light"/>
      <w:b/>
      <w:bCs/>
      <w:i/>
      <w:iCs/>
      <w:color w:val="373C78" w:themeColor="accent1"/>
      <w:sz w:val="24"/>
    </w:rPr>
  </w:style>
  <w:style w:type="paragraph" w:styleId="Inhaltsverzeichnisberschrift">
    <w:name w:val="TOC Heading"/>
    <w:basedOn w:val="berschrift1"/>
    <w:next w:val="Standard"/>
    <w:uiPriority w:val="39"/>
    <w:unhideWhenUsed/>
    <w:qFormat/>
    <w:rsid w:val="00DE48BB"/>
    <w:pPr>
      <w:spacing w:before="240" w:line="259" w:lineRule="auto"/>
      <w:outlineLvl w:val="9"/>
    </w:pPr>
    <w:rPr>
      <w:b w:val="0"/>
      <w:bCs w:val="0"/>
      <w:szCs w:val="32"/>
      <w:lang w:val="en-US"/>
    </w:rPr>
  </w:style>
  <w:style w:type="paragraph" w:styleId="Verzeichnis1">
    <w:name w:val="toc 1"/>
    <w:basedOn w:val="Standard"/>
    <w:next w:val="Standard"/>
    <w:autoRedefine/>
    <w:uiPriority w:val="39"/>
    <w:unhideWhenUsed/>
    <w:rsid w:val="00DE48BB"/>
    <w:pPr>
      <w:spacing w:after="100"/>
    </w:pPr>
  </w:style>
  <w:style w:type="paragraph" w:styleId="Verzeichnis2">
    <w:name w:val="toc 2"/>
    <w:basedOn w:val="Standard"/>
    <w:next w:val="Standard"/>
    <w:autoRedefine/>
    <w:uiPriority w:val="39"/>
    <w:unhideWhenUsed/>
    <w:rsid w:val="00DE48BB"/>
    <w:pPr>
      <w:spacing w:after="100"/>
      <w:ind w:left="220"/>
    </w:pPr>
  </w:style>
  <w:style w:type="paragraph" w:styleId="Verzeichnis3">
    <w:name w:val="toc 3"/>
    <w:basedOn w:val="Standard"/>
    <w:next w:val="Standard"/>
    <w:autoRedefine/>
    <w:uiPriority w:val="39"/>
    <w:unhideWhenUsed/>
    <w:rsid w:val="00DE48BB"/>
    <w:pPr>
      <w:spacing w:after="100"/>
      <w:ind w:left="440"/>
    </w:pPr>
  </w:style>
  <w:style w:type="paragraph" w:styleId="Kopfzeile">
    <w:name w:val="header"/>
    <w:basedOn w:val="Standard"/>
    <w:link w:val="KopfzeileZchn"/>
    <w:uiPriority w:val="99"/>
    <w:unhideWhenUsed/>
    <w:rsid w:val="00B215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58D"/>
  </w:style>
  <w:style w:type="paragraph" w:styleId="Fuzeile">
    <w:name w:val="footer"/>
    <w:basedOn w:val="Standard"/>
    <w:link w:val="FuzeileZchn"/>
    <w:uiPriority w:val="99"/>
    <w:unhideWhenUsed/>
    <w:rsid w:val="00B215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58D"/>
  </w:style>
  <w:style w:type="paragraph" w:customStyle="1" w:styleId="Default">
    <w:name w:val="Default"/>
    <w:rsid w:val="00B05030"/>
    <w:pPr>
      <w:widowControl w:val="0"/>
      <w:autoSpaceDE w:val="0"/>
      <w:autoSpaceDN w:val="0"/>
      <w:adjustRightInd w:val="0"/>
      <w:spacing w:after="0" w:line="240" w:lineRule="auto"/>
    </w:pPr>
    <w:rPr>
      <w:rFonts w:ascii="Myriad Pro Light" w:eastAsia="Times New Roman" w:hAnsi="Myriad Pro Light" w:cs="Cambria"/>
      <w:color w:val="000000"/>
      <w:sz w:val="18"/>
      <w:szCs w:val="24"/>
      <w:lang w:val="en-US"/>
    </w:rPr>
  </w:style>
  <w:style w:type="table" w:customStyle="1" w:styleId="GridTable1Light-Accent21">
    <w:name w:val="Grid Table 1 Light - Accent 21"/>
    <w:basedOn w:val="NormaleTabelle"/>
    <w:uiPriority w:val="46"/>
    <w:rsid w:val="00B05030"/>
    <w:pPr>
      <w:spacing w:after="0" w:line="240" w:lineRule="auto"/>
    </w:pPr>
    <w:rPr>
      <w:rFonts w:ascii="Myriad Pro Light" w:eastAsia="MS Mincho" w:hAnsi="Myriad Pro Light" w:cs="Times New Roman"/>
      <w:sz w:val="18"/>
      <w:szCs w:val="24"/>
      <w:lang w:val="fr-F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11">
    <w:name w:val="Grid Table 1 Light - Accent 211"/>
    <w:basedOn w:val="NormaleTabelle"/>
    <w:uiPriority w:val="46"/>
    <w:rsid w:val="00B05030"/>
    <w:pPr>
      <w:spacing w:after="0" w:line="240" w:lineRule="auto"/>
    </w:pPr>
    <w:rPr>
      <w:rFonts w:ascii="Myriad Pro Light" w:eastAsia="MS Mincho" w:hAnsi="Myriad Pro Light" w:cs="Times New Roman"/>
      <w:sz w:val="18"/>
      <w:szCs w:val="24"/>
      <w:lang w:val="fr-F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styleId="Hervorhebung">
    <w:name w:val="Emphasis"/>
    <w:basedOn w:val="Absatz-Standardschriftart"/>
    <w:uiPriority w:val="20"/>
    <w:rsid w:val="00CE38EB"/>
    <w:rPr>
      <w:rFonts w:ascii="Gill Sans Light" w:hAnsi="Gill Sans Light" w:cs="Times New Roman"/>
      <w:b w:val="0"/>
      <w:i/>
      <w:sz w:val="22"/>
    </w:rPr>
  </w:style>
  <w:style w:type="character" w:styleId="Fett">
    <w:name w:val="Strong"/>
    <w:basedOn w:val="Absatz-Standardschriftart"/>
    <w:uiPriority w:val="22"/>
    <w:qFormat/>
    <w:rsid w:val="00CE38EB"/>
    <w:rPr>
      <w:rFonts w:ascii="Gill Sans SemiBold" w:hAnsi="Gill Sans SemiBold" w:cs="Times New Roman"/>
      <w:b w:val="0"/>
      <w:i w:val="0"/>
      <w:sz w:val="22"/>
    </w:rPr>
  </w:style>
  <w:style w:type="character" w:customStyle="1" w:styleId="UnresolvedMention1">
    <w:name w:val="Unresolved Mention1"/>
    <w:basedOn w:val="Absatz-Standardschriftart"/>
    <w:uiPriority w:val="99"/>
    <w:semiHidden/>
    <w:unhideWhenUsed/>
    <w:rsid w:val="00603CD2"/>
    <w:rPr>
      <w:color w:val="605E5C"/>
      <w:shd w:val="clear" w:color="auto" w:fill="E1DFDD"/>
    </w:rPr>
  </w:style>
  <w:style w:type="character" w:customStyle="1" w:styleId="berschrift5Zchn">
    <w:name w:val="Überschrift 5 Zchn"/>
    <w:basedOn w:val="Absatz-Standardschriftart"/>
    <w:link w:val="berschrift5"/>
    <w:uiPriority w:val="9"/>
    <w:rsid w:val="004F0662"/>
    <w:rPr>
      <w:rFonts w:ascii="ITC Avant Garde Std Bk" w:eastAsiaTheme="majorEastAsia" w:hAnsi="ITC Avant Garde Std Bk" w:cstheme="majorBidi"/>
      <w:i/>
      <w:color w:val="292C59" w:themeColor="accent1" w:themeShade="BF"/>
    </w:rPr>
  </w:style>
  <w:style w:type="paragraph" w:styleId="Zitat">
    <w:name w:val="Quote"/>
    <w:basedOn w:val="Standard"/>
    <w:next w:val="Standard"/>
    <w:link w:val="ZitatZchn"/>
    <w:uiPriority w:val="29"/>
    <w:qFormat/>
    <w:rsid w:val="004F066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F0662"/>
    <w:rPr>
      <w:rFonts w:ascii="ITC Avant Garde Std Bk" w:hAnsi="ITC Avant Garde Std Bk" w:cs="Open Sans Light"/>
      <w:i/>
      <w:iCs/>
      <w:color w:val="404040" w:themeColor="text1" w:themeTint="BF"/>
    </w:rPr>
  </w:style>
  <w:style w:type="paragraph" w:customStyle="1" w:styleId="Figuresandtables">
    <w:name w:val="Figures and tables"/>
    <w:basedOn w:val="Listenabsatz"/>
    <w:link w:val="FiguresandtablesChar"/>
    <w:qFormat/>
    <w:rsid w:val="003C44D7"/>
    <w:pPr>
      <w:numPr>
        <w:numId w:val="0"/>
      </w:numPr>
      <w:jc w:val="center"/>
    </w:pPr>
    <w:rPr>
      <w:b/>
      <w:bCs/>
      <w:szCs w:val="20"/>
    </w:rPr>
  </w:style>
  <w:style w:type="paragraph" w:customStyle="1" w:styleId="Titles-non-numbered">
    <w:name w:val="Titles - non-numbered"/>
    <w:basedOn w:val="berschrift1"/>
    <w:link w:val="Titles-non-numberedChar"/>
    <w:qFormat/>
    <w:rsid w:val="00A73971"/>
    <w:pPr>
      <w:numPr>
        <w:numId w:val="0"/>
      </w:numPr>
    </w:pPr>
  </w:style>
  <w:style w:type="character" w:customStyle="1" w:styleId="ListenabsatzZchn">
    <w:name w:val="Listenabsatz Zchn"/>
    <w:aliases w:val="Bullet points - Level 1 Zchn"/>
    <w:basedOn w:val="Absatz-Standardschriftart"/>
    <w:link w:val="Listenabsatz"/>
    <w:uiPriority w:val="34"/>
    <w:rsid w:val="00E31B75"/>
  </w:style>
  <w:style w:type="character" w:customStyle="1" w:styleId="FiguresandtablesChar">
    <w:name w:val="Figures and tables Char"/>
    <w:basedOn w:val="ListenabsatzZchn"/>
    <w:link w:val="Figuresandtables"/>
    <w:rsid w:val="003C44D7"/>
    <w:rPr>
      <w:rFonts w:ascii="ITC Avant Garde Std Bk" w:hAnsi="ITC Avant Garde Std Bk" w:cs="Open Sans Light"/>
      <w:b/>
      <w:bCs/>
      <w:sz w:val="20"/>
      <w:szCs w:val="20"/>
    </w:rPr>
  </w:style>
  <w:style w:type="character" w:customStyle="1" w:styleId="Titles-non-numberedChar">
    <w:name w:val="Titles - non-numbered Char"/>
    <w:basedOn w:val="berschrift1Zchn"/>
    <w:link w:val="Titles-non-numbered"/>
    <w:rsid w:val="00A73971"/>
    <w:rPr>
      <w:rFonts w:ascii="ITC Avant Garde Std Bk" w:eastAsiaTheme="majorEastAsia" w:hAnsi="ITC Avant Garde Std Bk" w:cs="Open Sans Light"/>
      <w:b/>
      <w:bCs/>
      <w:caps/>
      <w:color w:val="292C59" w:themeColor="accent1" w:themeShade="BF"/>
      <w:sz w:val="32"/>
      <w:szCs w:val="28"/>
    </w:rPr>
  </w:style>
  <w:style w:type="character" w:styleId="Kommentarzeichen">
    <w:name w:val="annotation reference"/>
    <w:basedOn w:val="Absatz-Standardschriftart"/>
    <w:uiPriority w:val="99"/>
    <w:semiHidden/>
    <w:unhideWhenUsed/>
    <w:rsid w:val="00DD2BB7"/>
    <w:rPr>
      <w:sz w:val="16"/>
      <w:szCs w:val="16"/>
    </w:rPr>
  </w:style>
  <w:style w:type="paragraph" w:styleId="Kommentartext">
    <w:name w:val="annotation text"/>
    <w:basedOn w:val="Standard"/>
    <w:link w:val="KommentartextZchn"/>
    <w:uiPriority w:val="99"/>
    <w:unhideWhenUsed/>
    <w:rsid w:val="00DD2BB7"/>
    <w:pPr>
      <w:spacing w:line="240" w:lineRule="auto"/>
    </w:pPr>
    <w:rPr>
      <w:szCs w:val="20"/>
    </w:rPr>
  </w:style>
  <w:style w:type="character" w:customStyle="1" w:styleId="KommentartextZchn">
    <w:name w:val="Kommentartext Zchn"/>
    <w:basedOn w:val="Absatz-Standardschriftart"/>
    <w:link w:val="Kommentartext"/>
    <w:uiPriority w:val="99"/>
    <w:rsid w:val="00DD2BB7"/>
    <w:rPr>
      <w:rFonts w:ascii="ITC Avant Garde Std Bk" w:hAnsi="ITC Avant Garde Std Bk" w:cs="Open Sans Light"/>
      <w:sz w:val="20"/>
      <w:szCs w:val="20"/>
    </w:rPr>
  </w:style>
  <w:style w:type="paragraph" w:styleId="Kommentarthema">
    <w:name w:val="annotation subject"/>
    <w:basedOn w:val="Kommentartext"/>
    <w:next w:val="Kommentartext"/>
    <w:link w:val="KommentarthemaZchn"/>
    <w:uiPriority w:val="99"/>
    <w:semiHidden/>
    <w:unhideWhenUsed/>
    <w:rsid w:val="00DD2BB7"/>
    <w:rPr>
      <w:b/>
      <w:bCs/>
    </w:rPr>
  </w:style>
  <w:style w:type="character" w:customStyle="1" w:styleId="KommentarthemaZchn">
    <w:name w:val="Kommentarthema Zchn"/>
    <w:basedOn w:val="KommentartextZchn"/>
    <w:link w:val="Kommentarthema"/>
    <w:uiPriority w:val="99"/>
    <w:semiHidden/>
    <w:rsid w:val="00DD2BB7"/>
    <w:rPr>
      <w:rFonts w:ascii="ITC Avant Garde Std Bk" w:hAnsi="ITC Avant Garde Std Bk" w:cs="Open Sans Light"/>
      <w:b/>
      <w:bCs/>
      <w:sz w:val="20"/>
      <w:szCs w:val="20"/>
    </w:rPr>
  </w:style>
  <w:style w:type="paragraph" w:customStyle="1" w:styleId="Bulletpointslevel2">
    <w:name w:val="Bullet points level 2"/>
    <w:basedOn w:val="Listenabsatz"/>
    <w:link w:val="Bulletpointslevel2Char"/>
    <w:qFormat/>
    <w:rsid w:val="003E745F"/>
    <w:pPr>
      <w:numPr>
        <w:ilvl w:val="1"/>
      </w:numPr>
      <w:ind w:left="1434" w:hanging="357"/>
    </w:pPr>
    <w:rPr>
      <w:lang w:val="en-US"/>
    </w:rPr>
  </w:style>
  <w:style w:type="paragraph" w:customStyle="1" w:styleId="bulletpoints-level3">
    <w:name w:val="bullet points - level 3"/>
    <w:basedOn w:val="Listenabsatz"/>
    <w:link w:val="bulletpoints-level3Char"/>
    <w:qFormat/>
    <w:rsid w:val="003E745F"/>
    <w:pPr>
      <w:numPr>
        <w:ilvl w:val="2"/>
      </w:numPr>
      <w:ind w:left="2154" w:hanging="357"/>
    </w:pPr>
  </w:style>
  <w:style w:type="character" w:customStyle="1" w:styleId="Bulletpointslevel2Char">
    <w:name w:val="Bullet points level 2 Char"/>
    <w:basedOn w:val="ListenabsatzZchn"/>
    <w:link w:val="Bulletpointslevel2"/>
    <w:rsid w:val="003E745F"/>
    <w:rPr>
      <w:lang w:val="en-US"/>
    </w:rPr>
  </w:style>
  <w:style w:type="character" w:customStyle="1" w:styleId="bulletpoints-level3Char">
    <w:name w:val="bullet points - level 3 Char"/>
    <w:basedOn w:val="ListenabsatzZchn"/>
    <w:link w:val="bulletpoints-level3"/>
    <w:rsid w:val="003E745F"/>
  </w:style>
  <w:style w:type="paragraph" w:styleId="Untertitel">
    <w:name w:val="Subtitle"/>
    <w:basedOn w:val="Standard"/>
    <w:next w:val="Standard"/>
    <w:link w:val="UntertitelZchn"/>
    <w:uiPriority w:val="11"/>
    <w:rsid w:val="00DD1570"/>
    <w:pPr>
      <w:jc w:val="center"/>
    </w:pPr>
    <w:rPr>
      <w:b/>
      <w:bCs/>
      <w:lang w:val="en-US"/>
    </w:rPr>
  </w:style>
  <w:style w:type="character" w:customStyle="1" w:styleId="UntertitelZchn">
    <w:name w:val="Untertitel Zchn"/>
    <w:basedOn w:val="Absatz-Standardschriftart"/>
    <w:link w:val="Untertitel"/>
    <w:uiPriority w:val="11"/>
    <w:rsid w:val="00DD1570"/>
    <w:rPr>
      <w:b/>
      <w:bCs/>
      <w:color w:val="373C78"/>
      <w:lang w:val="en-US"/>
    </w:rPr>
  </w:style>
  <w:style w:type="table" w:styleId="Tabellenraster">
    <w:name w:val="Table Grid"/>
    <w:basedOn w:val="NormaleTabelle"/>
    <w:uiPriority w:val="59"/>
    <w:rsid w:val="00B7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NormaleTabelle"/>
    <w:uiPriority w:val="45"/>
    <w:rsid w:val="00B70B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NormaleTabelle"/>
    <w:uiPriority w:val="40"/>
    <w:rsid w:val="00B70B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chriftung">
    <w:name w:val="caption"/>
    <w:basedOn w:val="Figuresandtables"/>
    <w:next w:val="Standard"/>
    <w:uiPriority w:val="35"/>
    <w:unhideWhenUsed/>
    <w:qFormat/>
    <w:rsid w:val="00E26BC9"/>
    <w:pPr>
      <w:spacing w:before="120"/>
    </w:pPr>
    <w:rPr>
      <w:iCs/>
      <w:color w:val="373C78" w:themeColor="accent1"/>
      <w:sz w:val="18"/>
      <w:szCs w:val="18"/>
    </w:rPr>
  </w:style>
  <w:style w:type="table" w:customStyle="1" w:styleId="GridTable1Light-Accent11">
    <w:name w:val="Grid Table 1 Light - Accent 11"/>
    <w:basedOn w:val="NormaleTabelle"/>
    <w:uiPriority w:val="46"/>
    <w:rsid w:val="00DE5BEE"/>
    <w:pPr>
      <w:spacing w:after="0" w:line="240" w:lineRule="auto"/>
    </w:pPr>
    <w:tblPr>
      <w:tblStyleRowBandSize w:val="1"/>
      <w:tblStyleColBandSize w:val="1"/>
      <w:tblBorders>
        <w:top w:val="single" w:sz="4" w:space="0" w:color="A3A6D5" w:themeColor="accent1" w:themeTint="66"/>
        <w:left w:val="single" w:sz="4" w:space="0" w:color="A3A6D5" w:themeColor="accent1" w:themeTint="66"/>
        <w:bottom w:val="single" w:sz="4" w:space="0" w:color="A3A6D5" w:themeColor="accent1" w:themeTint="66"/>
        <w:right w:val="single" w:sz="4" w:space="0" w:color="A3A6D5" w:themeColor="accent1" w:themeTint="66"/>
        <w:insideH w:val="single" w:sz="4" w:space="0" w:color="A3A6D5" w:themeColor="accent1" w:themeTint="66"/>
        <w:insideV w:val="single" w:sz="4" w:space="0" w:color="A3A6D5" w:themeColor="accent1" w:themeTint="66"/>
      </w:tblBorders>
    </w:tblPr>
    <w:tblStylePr w:type="firstRow">
      <w:rPr>
        <w:b/>
        <w:bCs/>
      </w:rPr>
      <w:tblPr/>
      <w:tcPr>
        <w:tcBorders>
          <w:bottom w:val="single" w:sz="12" w:space="0" w:color="757ABF" w:themeColor="accent1" w:themeTint="99"/>
        </w:tcBorders>
      </w:tcPr>
    </w:tblStylePr>
    <w:tblStylePr w:type="lastRow">
      <w:rPr>
        <w:b/>
        <w:bCs/>
      </w:rPr>
      <w:tblPr/>
      <w:tcPr>
        <w:tcBorders>
          <w:top w:val="double" w:sz="2" w:space="0" w:color="757ABF" w:themeColor="accent1" w:themeTint="99"/>
        </w:tcBorders>
      </w:tcPr>
    </w:tblStylePr>
    <w:tblStylePr w:type="firstCol">
      <w:rPr>
        <w:b/>
        <w:bCs/>
      </w:rPr>
    </w:tblStylePr>
    <w:tblStylePr w:type="lastCol">
      <w:rPr>
        <w:b/>
        <w:bCs/>
      </w:rPr>
    </w:tblStylePr>
  </w:style>
  <w:style w:type="table" w:customStyle="1" w:styleId="GridTable21">
    <w:name w:val="Grid Table 21"/>
    <w:basedOn w:val="NormaleTabelle"/>
    <w:uiPriority w:val="47"/>
    <w:rsid w:val="00DE5B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22">
    <w:name w:val="Grid Table 1 Light - Accent 22"/>
    <w:basedOn w:val="NormaleTabelle"/>
    <w:uiPriority w:val="46"/>
    <w:rsid w:val="00DE5BEE"/>
    <w:pPr>
      <w:spacing w:after="0" w:line="240" w:lineRule="auto"/>
    </w:pPr>
    <w:tblPr>
      <w:tblStyleRowBandSize w:val="1"/>
      <w:tblStyleColBandSize w:val="1"/>
      <w:tblBorders>
        <w:top w:val="single" w:sz="4" w:space="0" w:color="D5E7E1" w:themeColor="accent2" w:themeTint="66"/>
        <w:left w:val="single" w:sz="4" w:space="0" w:color="D5E7E1" w:themeColor="accent2" w:themeTint="66"/>
        <w:bottom w:val="single" w:sz="4" w:space="0" w:color="D5E7E1" w:themeColor="accent2" w:themeTint="66"/>
        <w:right w:val="single" w:sz="4" w:space="0" w:color="D5E7E1" w:themeColor="accent2" w:themeTint="66"/>
        <w:insideH w:val="single" w:sz="4" w:space="0" w:color="D5E7E1" w:themeColor="accent2" w:themeTint="66"/>
        <w:insideV w:val="single" w:sz="4" w:space="0" w:color="D5E7E1" w:themeColor="accent2" w:themeTint="66"/>
      </w:tblBorders>
    </w:tblPr>
    <w:tblStylePr w:type="firstRow">
      <w:rPr>
        <w:b/>
        <w:bCs/>
      </w:rPr>
      <w:tblPr/>
      <w:tcPr>
        <w:tcBorders>
          <w:bottom w:val="single" w:sz="12" w:space="0" w:color="C0DBD2" w:themeColor="accent2" w:themeTint="99"/>
        </w:tcBorders>
      </w:tcPr>
    </w:tblStylePr>
    <w:tblStylePr w:type="lastRow">
      <w:rPr>
        <w:b/>
        <w:bCs/>
      </w:rPr>
      <w:tblPr/>
      <w:tcPr>
        <w:tcBorders>
          <w:top w:val="double" w:sz="2" w:space="0" w:color="C0DBD2"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NormaleTabelle"/>
    <w:uiPriority w:val="46"/>
    <w:rsid w:val="00DE5B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aleTabelle"/>
    <w:uiPriority w:val="46"/>
    <w:rsid w:val="00DE5BEE"/>
    <w:pPr>
      <w:spacing w:after="0" w:line="240" w:lineRule="auto"/>
    </w:pPr>
    <w:tblPr>
      <w:tblStyleRowBandSize w:val="1"/>
      <w:tblStyleColBandSize w:val="1"/>
      <w:tblBorders>
        <w:top w:val="single" w:sz="4" w:space="0" w:color="FDDEA1" w:themeColor="accent3" w:themeTint="66"/>
        <w:left w:val="single" w:sz="4" w:space="0" w:color="FDDEA1" w:themeColor="accent3" w:themeTint="66"/>
        <w:bottom w:val="single" w:sz="4" w:space="0" w:color="FDDEA1" w:themeColor="accent3" w:themeTint="66"/>
        <w:right w:val="single" w:sz="4" w:space="0" w:color="FDDEA1" w:themeColor="accent3" w:themeTint="66"/>
        <w:insideH w:val="single" w:sz="4" w:space="0" w:color="FDDEA1" w:themeColor="accent3" w:themeTint="66"/>
        <w:insideV w:val="single" w:sz="4" w:space="0" w:color="FDDEA1" w:themeColor="accent3" w:themeTint="66"/>
      </w:tblBorders>
    </w:tblPr>
    <w:tblStylePr w:type="firstRow">
      <w:rPr>
        <w:b/>
        <w:bCs/>
      </w:rPr>
      <w:tblPr/>
      <w:tcPr>
        <w:tcBorders>
          <w:bottom w:val="single" w:sz="12" w:space="0" w:color="FCCE72" w:themeColor="accent3" w:themeTint="99"/>
        </w:tcBorders>
      </w:tcPr>
    </w:tblStylePr>
    <w:tblStylePr w:type="lastRow">
      <w:rPr>
        <w:b/>
        <w:bCs/>
      </w:rPr>
      <w:tblPr/>
      <w:tcPr>
        <w:tcBorders>
          <w:top w:val="double" w:sz="2" w:space="0" w:color="FCCE72" w:themeColor="accent3"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unhideWhenUsed/>
    <w:qFormat/>
    <w:rsid w:val="003E745F"/>
    <w:pPr>
      <w:spacing w:before="0" w:after="0" w:line="240" w:lineRule="auto"/>
    </w:pPr>
    <w:rPr>
      <w:szCs w:val="24"/>
    </w:rPr>
  </w:style>
  <w:style w:type="character" w:customStyle="1" w:styleId="FunotentextZchn">
    <w:name w:val="Fußnotentext Zchn"/>
    <w:basedOn w:val="Absatz-Standardschriftart"/>
    <w:link w:val="Funotentext"/>
    <w:uiPriority w:val="99"/>
    <w:rsid w:val="003E745F"/>
    <w:rPr>
      <w:sz w:val="20"/>
      <w:szCs w:val="24"/>
    </w:rPr>
  </w:style>
  <w:style w:type="character" w:styleId="Funotenzeichen">
    <w:name w:val="footnote reference"/>
    <w:basedOn w:val="Absatz-Standardschriftart"/>
    <w:unhideWhenUsed/>
    <w:rsid w:val="003E745F"/>
    <w:rPr>
      <w:vertAlign w:val="superscript"/>
    </w:rPr>
  </w:style>
  <w:style w:type="character" w:customStyle="1" w:styleId="berschrift6Zchn">
    <w:name w:val="Überschrift 6 Zchn"/>
    <w:basedOn w:val="Absatz-Standardschriftart"/>
    <w:link w:val="berschrift6"/>
    <w:uiPriority w:val="9"/>
    <w:rsid w:val="00914DF7"/>
    <w:rPr>
      <w:rFonts w:asciiTheme="majorHAnsi" w:eastAsiaTheme="majorEastAsia" w:hAnsiTheme="majorHAnsi" w:cstheme="majorBidi"/>
      <w:color w:val="1B1D3B" w:themeColor="accent1" w:themeShade="7F"/>
    </w:rPr>
  </w:style>
  <w:style w:type="character" w:customStyle="1" w:styleId="berschrift7Zchn">
    <w:name w:val="Überschrift 7 Zchn"/>
    <w:basedOn w:val="Absatz-Standardschriftart"/>
    <w:link w:val="berschrift7"/>
    <w:uiPriority w:val="9"/>
    <w:semiHidden/>
    <w:rsid w:val="00914DF7"/>
    <w:rPr>
      <w:rFonts w:asciiTheme="majorHAnsi" w:eastAsiaTheme="majorEastAsia" w:hAnsiTheme="majorHAnsi" w:cstheme="majorBidi"/>
      <w:i/>
      <w:iCs/>
      <w:color w:val="1B1D3B" w:themeColor="accent1" w:themeShade="7F"/>
    </w:rPr>
  </w:style>
  <w:style w:type="character" w:customStyle="1" w:styleId="berschrift8Zchn">
    <w:name w:val="Überschrift 8 Zchn"/>
    <w:basedOn w:val="Absatz-Standardschriftart"/>
    <w:link w:val="berschrift8"/>
    <w:uiPriority w:val="9"/>
    <w:semiHidden/>
    <w:rsid w:val="00914DF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14DF7"/>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D27BD4"/>
    <w:pPr>
      <w:spacing w:after="0" w:line="240" w:lineRule="auto"/>
    </w:pPr>
  </w:style>
  <w:style w:type="table" w:styleId="Listentabelle3Akzent5">
    <w:name w:val="List Table 3 Accent 5"/>
    <w:basedOn w:val="NormaleTabelle"/>
    <w:uiPriority w:val="48"/>
    <w:rsid w:val="00A23CE0"/>
    <w:pPr>
      <w:spacing w:after="0" w:line="240" w:lineRule="auto"/>
    </w:pPr>
    <w:rPr>
      <w:color w:val="auto"/>
      <w:sz w:val="22"/>
    </w:rPr>
    <w:tblPr>
      <w:tblStyleRowBandSize w:val="1"/>
      <w:tblStyleColBandSize w:val="1"/>
      <w:tblBorders>
        <w:top w:val="single" w:sz="4" w:space="0" w:color="009187" w:themeColor="accent5"/>
        <w:left w:val="single" w:sz="4" w:space="0" w:color="009187" w:themeColor="accent5"/>
        <w:bottom w:val="single" w:sz="4" w:space="0" w:color="009187" w:themeColor="accent5"/>
        <w:right w:val="single" w:sz="4" w:space="0" w:color="009187" w:themeColor="accent5"/>
      </w:tblBorders>
    </w:tblPr>
    <w:tblStylePr w:type="firstRow">
      <w:rPr>
        <w:b/>
        <w:bCs/>
        <w:color w:val="FFFFFF" w:themeColor="background1"/>
      </w:rPr>
      <w:tblPr/>
      <w:tcPr>
        <w:shd w:val="clear" w:color="auto" w:fill="009187" w:themeFill="accent5"/>
      </w:tcPr>
    </w:tblStylePr>
    <w:tblStylePr w:type="lastRow">
      <w:rPr>
        <w:b/>
        <w:bCs/>
      </w:rPr>
      <w:tblPr/>
      <w:tcPr>
        <w:tcBorders>
          <w:top w:val="double" w:sz="4" w:space="0" w:color="00918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87" w:themeColor="accent5"/>
          <w:right w:val="single" w:sz="4" w:space="0" w:color="009187" w:themeColor="accent5"/>
        </w:tcBorders>
      </w:tcPr>
    </w:tblStylePr>
    <w:tblStylePr w:type="band1Horz">
      <w:tblPr/>
      <w:tcPr>
        <w:tcBorders>
          <w:top w:val="single" w:sz="4" w:space="0" w:color="009187" w:themeColor="accent5"/>
          <w:bottom w:val="single" w:sz="4" w:space="0" w:color="00918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87" w:themeColor="accent5"/>
          <w:left w:val="nil"/>
        </w:tcBorders>
      </w:tcPr>
    </w:tblStylePr>
    <w:tblStylePr w:type="swCell">
      <w:tblPr/>
      <w:tcPr>
        <w:tcBorders>
          <w:top w:val="double" w:sz="4" w:space="0" w:color="009187" w:themeColor="accent5"/>
          <w:right w:val="nil"/>
        </w:tcBorders>
      </w:tcPr>
    </w:tblStylePr>
  </w:style>
  <w:style w:type="character" w:customStyle="1" w:styleId="Menzione1">
    <w:name w:val="Menzione1"/>
    <w:basedOn w:val="Absatz-Standardschriftart"/>
    <w:uiPriority w:val="99"/>
    <w:unhideWhenUsed/>
    <w:rsid w:val="00AC6490"/>
    <w:rPr>
      <w:color w:val="2B579A"/>
      <w:shd w:val="clear" w:color="auto" w:fill="E1DFDD"/>
    </w:rPr>
  </w:style>
  <w:style w:type="paragraph" w:customStyle="1" w:styleId="Aufzhlungrot">
    <w:name w:val="Aufzählung_rot"/>
    <w:basedOn w:val="Standard"/>
    <w:unhideWhenUsed/>
    <w:qFormat/>
    <w:rsid w:val="00D20A55"/>
    <w:pPr>
      <w:numPr>
        <w:numId w:val="24"/>
      </w:numPr>
      <w:tabs>
        <w:tab w:val="left" w:pos="284"/>
      </w:tabs>
    </w:pPr>
    <w:rPr>
      <w:lang w:val="en-US" w:eastAsia="de-DE"/>
    </w:rPr>
  </w:style>
  <w:style w:type="table" w:styleId="Gitternetztabelle1hellAkzent3">
    <w:name w:val="Grid Table 1 Light Accent 3"/>
    <w:basedOn w:val="NormaleTabelle"/>
    <w:uiPriority w:val="46"/>
    <w:rsid w:val="006D0ADA"/>
    <w:pPr>
      <w:spacing w:after="0" w:line="240" w:lineRule="auto"/>
    </w:pPr>
    <w:tblPr>
      <w:tblStyleRowBandSize w:val="1"/>
      <w:tblStyleColBandSize w:val="1"/>
      <w:tblBorders>
        <w:top w:val="single" w:sz="4" w:space="0" w:color="FDDEA1" w:themeColor="accent3" w:themeTint="66"/>
        <w:left w:val="single" w:sz="4" w:space="0" w:color="FDDEA1" w:themeColor="accent3" w:themeTint="66"/>
        <w:bottom w:val="single" w:sz="4" w:space="0" w:color="FDDEA1" w:themeColor="accent3" w:themeTint="66"/>
        <w:right w:val="single" w:sz="4" w:space="0" w:color="FDDEA1" w:themeColor="accent3" w:themeTint="66"/>
        <w:insideH w:val="single" w:sz="4" w:space="0" w:color="FDDEA1" w:themeColor="accent3" w:themeTint="66"/>
        <w:insideV w:val="single" w:sz="4" w:space="0" w:color="FDDEA1" w:themeColor="accent3" w:themeTint="66"/>
      </w:tblBorders>
    </w:tblPr>
    <w:tblStylePr w:type="firstRow">
      <w:rPr>
        <w:b/>
        <w:bCs/>
      </w:rPr>
      <w:tblPr/>
      <w:tcPr>
        <w:tcBorders>
          <w:bottom w:val="single" w:sz="12" w:space="0" w:color="FCCE72" w:themeColor="accent3" w:themeTint="99"/>
        </w:tcBorders>
      </w:tcPr>
    </w:tblStylePr>
    <w:tblStylePr w:type="lastRow">
      <w:rPr>
        <w:b/>
        <w:bCs/>
      </w:rPr>
      <w:tblPr/>
      <w:tcPr>
        <w:tcBorders>
          <w:top w:val="double" w:sz="2" w:space="0" w:color="FCCE72" w:themeColor="accent3" w:themeTint="99"/>
        </w:tcBorders>
      </w:tcPr>
    </w:tblStylePr>
    <w:tblStylePr w:type="firstCol">
      <w:rPr>
        <w:b/>
        <w:bCs/>
      </w:rPr>
    </w:tblStylePr>
    <w:tblStylePr w:type="lastCol">
      <w:rPr>
        <w:b/>
        <w:bCs/>
      </w:rPr>
    </w:tblStylePr>
  </w:style>
  <w:style w:type="paragraph" w:styleId="Abbildungsverzeichnis">
    <w:name w:val="table of figures"/>
    <w:basedOn w:val="Standard"/>
    <w:next w:val="Standard"/>
    <w:uiPriority w:val="99"/>
    <w:unhideWhenUsed/>
    <w:rsid w:val="00E03220"/>
    <w:pPr>
      <w:spacing w:after="0"/>
    </w:pPr>
  </w:style>
  <w:style w:type="character" w:styleId="BesuchterLink">
    <w:name w:val="FollowedHyperlink"/>
    <w:basedOn w:val="Absatz-Standardschriftart"/>
    <w:uiPriority w:val="99"/>
    <w:semiHidden/>
    <w:unhideWhenUsed/>
    <w:rsid w:val="00BE384C"/>
    <w:rPr>
      <w:color w:val="BD4475" w:themeColor="followedHyperlink"/>
      <w:u w:val="single"/>
    </w:rPr>
  </w:style>
  <w:style w:type="character" w:customStyle="1" w:styleId="UnresolvedMention">
    <w:name w:val="Unresolved Mention"/>
    <w:basedOn w:val="Absatz-Standardschriftart"/>
    <w:uiPriority w:val="99"/>
    <w:semiHidden/>
    <w:unhideWhenUsed/>
    <w:rsid w:val="00BE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726">
      <w:bodyDiv w:val="1"/>
      <w:marLeft w:val="0"/>
      <w:marRight w:val="0"/>
      <w:marTop w:val="0"/>
      <w:marBottom w:val="0"/>
      <w:divBdr>
        <w:top w:val="none" w:sz="0" w:space="0" w:color="auto"/>
        <w:left w:val="none" w:sz="0" w:space="0" w:color="auto"/>
        <w:bottom w:val="none" w:sz="0" w:space="0" w:color="auto"/>
        <w:right w:val="none" w:sz="0" w:space="0" w:color="auto"/>
      </w:divBdr>
    </w:div>
    <w:div w:id="99496556">
      <w:bodyDiv w:val="1"/>
      <w:marLeft w:val="0"/>
      <w:marRight w:val="0"/>
      <w:marTop w:val="0"/>
      <w:marBottom w:val="0"/>
      <w:divBdr>
        <w:top w:val="none" w:sz="0" w:space="0" w:color="auto"/>
        <w:left w:val="none" w:sz="0" w:space="0" w:color="auto"/>
        <w:bottom w:val="none" w:sz="0" w:space="0" w:color="auto"/>
        <w:right w:val="none" w:sz="0" w:space="0" w:color="auto"/>
      </w:divBdr>
    </w:div>
    <w:div w:id="152962179">
      <w:bodyDiv w:val="1"/>
      <w:marLeft w:val="0"/>
      <w:marRight w:val="0"/>
      <w:marTop w:val="0"/>
      <w:marBottom w:val="0"/>
      <w:divBdr>
        <w:top w:val="none" w:sz="0" w:space="0" w:color="auto"/>
        <w:left w:val="none" w:sz="0" w:space="0" w:color="auto"/>
        <w:bottom w:val="none" w:sz="0" w:space="0" w:color="auto"/>
        <w:right w:val="none" w:sz="0" w:space="0" w:color="auto"/>
      </w:divBdr>
    </w:div>
    <w:div w:id="344407801">
      <w:bodyDiv w:val="1"/>
      <w:marLeft w:val="0"/>
      <w:marRight w:val="0"/>
      <w:marTop w:val="0"/>
      <w:marBottom w:val="0"/>
      <w:divBdr>
        <w:top w:val="none" w:sz="0" w:space="0" w:color="auto"/>
        <w:left w:val="none" w:sz="0" w:space="0" w:color="auto"/>
        <w:bottom w:val="none" w:sz="0" w:space="0" w:color="auto"/>
        <w:right w:val="none" w:sz="0" w:space="0" w:color="auto"/>
      </w:divBdr>
    </w:div>
    <w:div w:id="445198413">
      <w:bodyDiv w:val="1"/>
      <w:marLeft w:val="0"/>
      <w:marRight w:val="0"/>
      <w:marTop w:val="0"/>
      <w:marBottom w:val="0"/>
      <w:divBdr>
        <w:top w:val="none" w:sz="0" w:space="0" w:color="auto"/>
        <w:left w:val="none" w:sz="0" w:space="0" w:color="auto"/>
        <w:bottom w:val="none" w:sz="0" w:space="0" w:color="auto"/>
        <w:right w:val="none" w:sz="0" w:space="0" w:color="auto"/>
      </w:divBdr>
    </w:div>
    <w:div w:id="557477814">
      <w:bodyDiv w:val="1"/>
      <w:marLeft w:val="0"/>
      <w:marRight w:val="0"/>
      <w:marTop w:val="0"/>
      <w:marBottom w:val="0"/>
      <w:divBdr>
        <w:top w:val="none" w:sz="0" w:space="0" w:color="auto"/>
        <w:left w:val="none" w:sz="0" w:space="0" w:color="auto"/>
        <w:bottom w:val="none" w:sz="0" w:space="0" w:color="auto"/>
        <w:right w:val="none" w:sz="0" w:space="0" w:color="auto"/>
      </w:divBdr>
    </w:div>
    <w:div w:id="698703229">
      <w:bodyDiv w:val="1"/>
      <w:marLeft w:val="0"/>
      <w:marRight w:val="0"/>
      <w:marTop w:val="0"/>
      <w:marBottom w:val="0"/>
      <w:divBdr>
        <w:top w:val="none" w:sz="0" w:space="0" w:color="auto"/>
        <w:left w:val="none" w:sz="0" w:space="0" w:color="auto"/>
        <w:bottom w:val="none" w:sz="0" w:space="0" w:color="auto"/>
        <w:right w:val="none" w:sz="0" w:space="0" w:color="auto"/>
      </w:divBdr>
    </w:div>
    <w:div w:id="736441864">
      <w:bodyDiv w:val="1"/>
      <w:marLeft w:val="0"/>
      <w:marRight w:val="0"/>
      <w:marTop w:val="0"/>
      <w:marBottom w:val="0"/>
      <w:divBdr>
        <w:top w:val="none" w:sz="0" w:space="0" w:color="auto"/>
        <w:left w:val="none" w:sz="0" w:space="0" w:color="auto"/>
        <w:bottom w:val="none" w:sz="0" w:space="0" w:color="auto"/>
        <w:right w:val="none" w:sz="0" w:space="0" w:color="auto"/>
      </w:divBdr>
    </w:div>
    <w:div w:id="1002244820">
      <w:bodyDiv w:val="1"/>
      <w:marLeft w:val="0"/>
      <w:marRight w:val="0"/>
      <w:marTop w:val="0"/>
      <w:marBottom w:val="0"/>
      <w:divBdr>
        <w:top w:val="none" w:sz="0" w:space="0" w:color="auto"/>
        <w:left w:val="none" w:sz="0" w:space="0" w:color="auto"/>
        <w:bottom w:val="none" w:sz="0" w:space="0" w:color="auto"/>
        <w:right w:val="none" w:sz="0" w:space="0" w:color="auto"/>
      </w:divBdr>
    </w:div>
    <w:div w:id="1429081673">
      <w:bodyDiv w:val="1"/>
      <w:marLeft w:val="0"/>
      <w:marRight w:val="0"/>
      <w:marTop w:val="0"/>
      <w:marBottom w:val="0"/>
      <w:divBdr>
        <w:top w:val="none" w:sz="0" w:space="0" w:color="auto"/>
        <w:left w:val="none" w:sz="0" w:space="0" w:color="auto"/>
        <w:bottom w:val="none" w:sz="0" w:space="0" w:color="auto"/>
        <w:right w:val="none" w:sz="0" w:space="0" w:color="auto"/>
      </w:divBdr>
    </w:div>
    <w:div w:id="1557201882">
      <w:bodyDiv w:val="1"/>
      <w:marLeft w:val="0"/>
      <w:marRight w:val="0"/>
      <w:marTop w:val="0"/>
      <w:marBottom w:val="0"/>
      <w:divBdr>
        <w:top w:val="none" w:sz="0" w:space="0" w:color="auto"/>
        <w:left w:val="none" w:sz="0" w:space="0" w:color="auto"/>
        <w:bottom w:val="none" w:sz="0" w:space="0" w:color="auto"/>
        <w:right w:val="none" w:sz="0" w:space="0" w:color="auto"/>
      </w:divBdr>
    </w:div>
    <w:div w:id="21218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is.org/bcbs/" TargetMode="External"/><Relationship Id="rId1" Type="http://schemas.openxmlformats.org/officeDocument/2006/relationships/hyperlink" Target="https://www.investopedia.com/terms/b/baselcommittee.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RenOnBill">
      <a:dk1>
        <a:sysClr val="windowText" lastClr="000000"/>
      </a:dk1>
      <a:lt1>
        <a:sysClr val="window" lastClr="FFFFFF"/>
      </a:lt1>
      <a:dk2>
        <a:srgbClr val="1F497D"/>
      </a:dk2>
      <a:lt2>
        <a:srgbClr val="EEECE1"/>
      </a:lt2>
      <a:accent1>
        <a:srgbClr val="373C78"/>
      </a:accent1>
      <a:accent2>
        <a:srgbClr val="96C3B4"/>
      </a:accent2>
      <a:accent3>
        <a:srgbClr val="FAAF14"/>
      </a:accent3>
      <a:accent4>
        <a:srgbClr val="BD4475"/>
      </a:accent4>
      <a:accent5>
        <a:srgbClr val="009187"/>
      </a:accent5>
      <a:accent6>
        <a:srgbClr val="619BBE"/>
      </a:accent6>
      <a:hlink>
        <a:srgbClr val="373C78"/>
      </a:hlink>
      <a:folHlink>
        <a:srgbClr val="BD4475"/>
      </a:folHlink>
    </a:clrScheme>
    <a:fontScheme name="RenOnBill">
      <a:majorFont>
        <a:latin typeface="ITC Avant Garde Std Bk"/>
        <a:ea typeface=""/>
        <a:cs typeface=""/>
      </a:majorFont>
      <a:minorFont>
        <a:latin typeface="ITC Avant Garde Std B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AFFA-FADE-4FD7-9D2C-D81DF542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2527</Words>
  <Characters>15922</Characters>
  <Application>Microsoft Office Word</Application>
  <DocSecurity>0</DocSecurity>
  <Lines>132</Lines>
  <Paragraphs>36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Fata</dc:creator>
  <cp:lastModifiedBy>Sophia Stock - adelphi</cp:lastModifiedBy>
  <cp:revision>174</cp:revision>
  <cp:lastPrinted>2020-06-29T13:51:00Z</cp:lastPrinted>
  <dcterms:created xsi:type="dcterms:W3CDTF">2020-05-06T11:39:00Z</dcterms:created>
  <dcterms:modified xsi:type="dcterms:W3CDTF">2020-07-09T07:56:00Z</dcterms:modified>
</cp:coreProperties>
</file>